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ayout w:type="fixed"/>
        <w:tblLook w:val="0000" w:firstRow="0" w:lastRow="0" w:firstColumn="0" w:lastColumn="0" w:noHBand="0" w:noVBand="0"/>
      </w:tblPr>
      <w:tblGrid>
        <w:gridCol w:w="3970"/>
        <w:gridCol w:w="5670"/>
      </w:tblGrid>
      <w:tr w:rsidR="00375067" w:rsidRPr="008D5871" w:rsidTr="0088002F">
        <w:tc>
          <w:tcPr>
            <w:tcW w:w="3970" w:type="dxa"/>
          </w:tcPr>
          <w:p w:rsidR="00375067" w:rsidRPr="008D5871" w:rsidRDefault="00375067" w:rsidP="0088002F">
            <w:pPr>
              <w:jc w:val="center"/>
              <w:rPr>
                <w:sz w:val="26"/>
                <w:szCs w:val="26"/>
              </w:rPr>
            </w:pPr>
            <w:r w:rsidRPr="008D5871">
              <w:rPr>
                <w:sz w:val="26"/>
                <w:szCs w:val="26"/>
              </w:rPr>
              <w:t>PHÒNG GD&amp;ĐT UÔNG BÍ</w:t>
            </w:r>
          </w:p>
          <w:p w:rsidR="00375067" w:rsidRPr="008D5871" w:rsidRDefault="00375067" w:rsidP="0088002F">
            <w:pPr>
              <w:jc w:val="center"/>
              <w:rPr>
                <w:b/>
                <w:sz w:val="26"/>
                <w:szCs w:val="26"/>
              </w:rPr>
            </w:pPr>
            <w:r w:rsidRPr="008D5871">
              <w:rPr>
                <w:b/>
                <w:sz w:val="26"/>
                <w:szCs w:val="26"/>
              </w:rPr>
              <w:t>TRƯỜNG TH PHƯƠNG NAM B</w:t>
            </w:r>
          </w:p>
          <w:p w:rsidR="00375067" w:rsidRPr="008D5871" w:rsidRDefault="00375067" w:rsidP="0088002F">
            <w:pPr>
              <w:jc w:val="center"/>
              <w:rPr>
                <w:sz w:val="20"/>
                <w:szCs w:val="20"/>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527050</wp:posOffset>
                      </wp:positionH>
                      <wp:positionV relativeFrom="paragraph">
                        <wp:posOffset>51435</wp:posOffset>
                      </wp:positionV>
                      <wp:extent cx="1021080" cy="0"/>
                      <wp:effectExtent l="1270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05pt" to="12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3d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"/>
                  </w:pict>
                </mc:Fallback>
              </mc:AlternateContent>
            </w:r>
          </w:p>
        </w:tc>
        <w:tc>
          <w:tcPr>
            <w:tcW w:w="5670" w:type="dxa"/>
          </w:tcPr>
          <w:p w:rsidR="00375067" w:rsidRPr="008D5871" w:rsidRDefault="00375067" w:rsidP="0088002F">
            <w:pPr>
              <w:jc w:val="center"/>
              <w:rPr>
                <w:b/>
                <w:bCs/>
                <w:sz w:val="26"/>
                <w:szCs w:val="26"/>
              </w:rPr>
            </w:pPr>
            <w:r w:rsidRPr="008D5871">
              <w:rPr>
                <w:b/>
                <w:bCs/>
                <w:sz w:val="26"/>
                <w:szCs w:val="26"/>
              </w:rPr>
              <w:t>CỘNG HOÀ XÃ HỘI CHỦ NGHĨA VIỆT NAM</w:t>
            </w:r>
          </w:p>
          <w:p w:rsidR="00375067" w:rsidRPr="008D5871" w:rsidRDefault="00375067" w:rsidP="0088002F">
            <w:pPr>
              <w:jc w:val="center"/>
              <w:rPr>
                <w:b/>
                <w:bCs/>
              </w:rPr>
            </w:pPr>
            <w:r w:rsidRPr="008D5871">
              <w:rPr>
                <w:b/>
                <w:bCs/>
                <w:sz w:val="30"/>
                <w:szCs w:val="30"/>
              </w:rPr>
              <w:t xml:space="preserve">   </w:t>
            </w:r>
            <w:r w:rsidRPr="008D5871">
              <w:rPr>
                <w:b/>
                <w:bCs/>
              </w:rPr>
              <w:t>Độc lập - Tự do - Hạnh phúc</w:t>
            </w:r>
          </w:p>
          <w:p w:rsidR="00375067" w:rsidRPr="008D5871" w:rsidRDefault="00375067" w:rsidP="0088002F">
            <w:pPr>
              <w:jc w:val="center"/>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31115</wp:posOffset>
                      </wp:positionV>
                      <wp:extent cx="2169795" cy="0"/>
                      <wp:effectExtent l="635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45pt" to="229.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q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bP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"/>
                  </w:pict>
                </mc:Fallback>
              </mc:AlternateContent>
            </w:r>
          </w:p>
        </w:tc>
      </w:tr>
      <w:tr w:rsidR="00375067" w:rsidRPr="008D5871" w:rsidTr="0088002F">
        <w:tc>
          <w:tcPr>
            <w:tcW w:w="3970" w:type="dxa"/>
          </w:tcPr>
          <w:p w:rsidR="00375067" w:rsidRPr="00804A36" w:rsidRDefault="00375067" w:rsidP="00725381">
            <w:pPr>
              <w:keepNext/>
              <w:jc w:val="center"/>
              <w:outlineLvl w:val="5"/>
              <w:rPr>
                <w:sz w:val="26"/>
                <w:szCs w:val="26"/>
              </w:rPr>
            </w:pPr>
            <w:r w:rsidRPr="00804A36">
              <w:rPr>
                <w:sz w:val="26"/>
                <w:szCs w:val="26"/>
              </w:rPr>
              <w:t xml:space="preserve">Số: </w:t>
            </w:r>
            <w:r w:rsidR="00804A36">
              <w:rPr>
                <w:sz w:val="26"/>
                <w:szCs w:val="26"/>
                <w:lang w:val="en-US"/>
              </w:rPr>
              <w:t>28</w:t>
            </w:r>
            <w:r w:rsidRPr="00804A36">
              <w:rPr>
                <w:sz w:val="26"/>
                <w:szCs w:val="26"/>
              </w:rPr>
              <w:t>/KH-THPNB</w:t>
            </w:r>
          </w:p>
        </w:tc>
        <w:tc>
          <w:tcPr>
            <w:tcW w:w="5670" w:type="dxa"/>
          </w:tcPr>
          <w:p w:rsidR="00375067" w:rsidRPr="005C4A8B" w:rsidRDefault="00CF6AAC" w:rsidP="00804A36">
            <w:pPr>
              <w:keepNext/>
              <w:jc w:val="center"/>
              <w:outlineLvl w:val="2"/>
              <w:rPr>
                <w:i/>
                <w:iCs/>
                <w:szCs w:val="26"/>
              </w:rPr>
            </w:pPr>
            <w:r>
              <w:rPr>
                <w:i/>
                <w:iCs/>
                <w:szCs w:val="26"/>
              </w:rPr>
              <w:t xml:space="preserve">      Uông Bí,</w:t>
            </w:r>
            <w:r w:rsidR="00375067" w:rsidRPr="008D5871">
              <w:rPr>
                <w:i/>
                <w:iCs/>
                <w:szCs w:val="26"/>
              </w:rPr>
              <w:t xml:space="preserve"> ngày </w:t>
            </w:r>
            <w:r w:rsidR="00375067" w:rsidRPr="00375067">
              <w:rPr>
                <w:i/>
                <w:iCs/>
                <w:szCs w:val="26"/>
              </w:rPr>
              <w:t>2</w:t>
            </w:r>
            <w:r w:rsidR="00804A36" w:rsidRPr="00804A36">
              <w:rPr>
                <w:i/>
                <w:iCs/>
                <w:szCs w:val="26"/>
              </w:rPr>
              <w:t>7</w:t>
            </w:r>
            <w:r w:rsidR="00375067" w:rsidRPr="008D5871">
              <w:rPr>
                <w:i/>
                <w:iCs/>
                <w:szCs w:val="26"/>
              </w:rPr>
              <w:t xml:space="preserve"> tháng  </w:t>
            </w:r>
            <w:r w:rsidR="00375067" w:rsidRPr="00375067">
              <w:rPr>
                <w:i/>
                <w:iCs/>
                <w:szCs w:val="26"/>
              </w:rPr>
              <w:t>02</w:t>
            </w:r>
            <w:r w:rsidR="00375067" w:rsidRPr="008D5871">
              <w:rPr>
                <w:i/>
                <w:iCs/>
                <w:szCs w:val="26"/>
              </w:rPr>
              <w:t xml:space="preserve"> năm 202</w:t>
            </w:r>
            <w:r w:rsidR="005C4A8B" w:rsidRPr="005C4A8B">
              <w:rPr>
                <w:i/>
                <w:iCs/>
                <w:szCs w:val="26"/>
              </w:rPr>
              <w:t>2</w:t>
            </w:r>
          </w:p>
        </w:tc>
      </w:tr>
    </w:tbl>
    <w:p w:rsidR="00375067" w:rsidRDefault="00375067" w:rsidP="00375067">
      <w:pPr>
        <w:rPr>
          <w:b/>
        </w:rPr>
      </w:pPr>
    </w:p>
    <w:p w:rsidR="00375067" w:rsidRPr="00725381" w:rsidRDefault="00375067" w:rsidP="00375067">
      <w:pPr>
        <w:ind w:firstLine="720"/>
        <w:jc w:val="center"/>
        <w:rPr>
          <w:b/>
        </w:rPr>
      </w:pPr>
      <w:r w:rsidRPr="007B49BF">
        <w:rPr>
          <w:b/>
        </w:rPr>
        <w:t xml:space="preserve">KẾ HOẠCH </w:t>
      </w:r>
    </w:p>
    <w:p w:rsidR="00375067" w:rsidRPr="00725381" w:rsidRDefault="00804A36" w:rsidP="00375067">
      <w:pPr>
        <w:ind w:firstLine="720"/>
        <w:jc w:val="center"/>
        <w:rPr>
          <w:b/>
        </w:rPr>
      </w:pPr>
      <w:r w:rsidRPr="00804A36">
        <w:rPr>
          <w:b/>
        </w:rPr>
        <w:t>Công tác phổ biến giáo dục pháp luật năm</w:t>
      </w:r>
      <w:r w:rsidR="00375067" w:rsidRPr="00725381">
        <w:rPr>
          <w:b/>
        </w:rPr>
        <w:t xml:space="preserve"> 202</w:t>
      </w:r>
      <w:r w:rsidR="005C4A8B" w:rsidRPr="00725381">
        <w:rPr>
          <w:b/>
        </w:rPr>
        <w:t>2</w:t>
      </w:r>
    </w:p>
    <w:p w:rsidR="00375067" w:rsidRPr="00725381" w:rsidRDefault="00804A36" w:rsidP="00375067">
      <w:pPr>
        <w:shd w:val="clear" w:color="auto" w:fill="FFFFFF"/>
        <w:spacing w:after="150" w:line="276" w:lineRule="auto"/>
        <w:jc w:val="both"/>
        <w:rPr>
          <w:rFonts w:asciiTheme="majorHAnsi" w:hAnsiTheme="majorHAnsi" w:cstheme="majorHAnsi"/>
          <w:color w:val="FF0000"/>
        </w:rPr>
      </w:pPr>
      <w:r>
        <w:rPr>
          <w:rFonts w:asciiTheme="majorHAnsi" w:hAnsiTheme="majorHAnsi" w:cstheme="majorHAnsi"/>
          <w:noProof/>
          <w:color w:val="FF0000"/>
        </w:rPr>
        <mc:AlternateContent>
          <mc:Choice Requires="wps">
            <w:drawing>
              <wp:anchor distT="0" distB="0" distL="114300" distR="114300" simplePos="0" relativeHeight="251661312" behindDoc="0" locked="0" layoutInCell="1" allowOverlap="1">
                <wp:simplePos x="0" y="0"/>
                <wp:positionH relativeFrom="column">
                  <wp:posOffset>2348865</wp:posOffset>
                </wp:positionH>
                <wp:positionV relativeFrom="paragraph">
                  <wp:posOffset>50165</wp:posOffset>
                </wp:positionV>
                <wp:extent cx="1809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95pt,3.95pt" to="32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HtQEAALcDAAAOAAAAZHJzL2Uyb0RvYy54bWysU8GOEzEMvSPxD1HudKarBZ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" strokecolor="black [3040]"/>
            </w:pict>
          </mc:Fallback>
        </mc:AlternateContent>
      </w:r>
    </w:p>
    <w:p w:rsidR="00244FF9" w:rsidRPr="00725381" w:rsidRDefault="003D7031" w:rsidP="00597442">
      <w:pPr>
        <w:shd w:val="clear" w:color="auto" w:fill="FFFFFF"/>
        <w:spacing w:after="150" w:line="276" w:lineRule="auto"/>
        <w:ind w:firstLine="720"/>
        <w:jc w:val="both"/>
        <w:rPr>
          <w:rFonts w:asciiTheme="majorHAnsi" w:hAnsiTheme="majorHAnsi" w:cstheme="majorHAnsi"/>
          <w:i/>
        </w:rPr>
      </w:pPr>
      <w:r w:rsidRPr="00725381">
        <w:rPr>
          <w:rFonts w:asciiTheme="majorHAnsi" w:hAnsiTheme="majorHAnsi" w:cstheme="majorHAnsi"/>
          <w:i/>
        </w:rPr>
        <w:t>C</w:t>
      </w:r>
      <w:r w:rsidRPr="00CF6AAC">
        <w:rPr>
          <w:rFonts w:asciiTheme="majorHAnsi" w:hAnsiTheme="majorHAnsi" w:cstheme="majorHAnsi"/>
          <w:i/>
        </w:rPr>
        <w:t xml:space="preserve">ăn cứ Kế hoạch số </w:t>
      </w:r>
      <w:r w:rsidR="00244FF9" w:rsidRPr="00725381">
        <w:rPr>
          <w:rFonts w:asciiTheme="majorHAnsi" w:hAnsiTheme="majorHAnsi" w:cstheme="majorHAnsi"/>
          <w:i/>
        </w:rPr>
        <w:t>37</w:t>
      </w:r>
      <w:r w:rsidR="00725381" w:rsidRPr="00725381">
        <w:rPr>
          <w:rFonts w:asciiTheme="majorHAnsi" w:hAnsiTheme="majorHAnsi" w:cstheme="majorHAnsi"/>
          <w:i/>
        </w:rPr>
        <w:t>0</w:t>
      </w:r>
      <w:r w:rsidRPr="00CF6AAC">
        <w:rPr>
          <w:rFonts w:asciiTheme="majorHAnsi" w:hAnsiTheme="majorHAnsi" w:cstheme="majorHAnsi"/>
          <w:i/>
        </w:rPr>
        <w:t>/KH-GDĐT ngày</w:t>
      </w:r>
      <w:r w:rsidR="00244FF9" w:rsidRPr="00725381">
        <w:rPr>
          <w:rFonts w:asciiTheme="majorHAnsi" w:hAnsiTheme="majorHAnsi" w:cstheme="majorHAnsi"/>
          <w:i/>
        </w:rPr>
        <w:t xml:space="preserve"> </w:t>
      </w:r>
      <w:r w:rsidR="00804A36" w:rsidRPr="00804A36">
        <w:rPr>
          <w:rFonts w:asciiTheme="majorHAnsi" w:hAnsiTheme="majorHAnsi" w:cstheme="majorHAnsi"/>
          <w:i/>
        </w:rPr>
        <w:t>11</w:t>
      </w:r>
      <w:r w:rsidR="00244FF9" w:rsidRPr="00725381">
        <w:rPr>
          <w:rFonts w:asciiTheme="majorHAnsi" w:hAnsiTheme="majorHAnsi" w:cstheme="majorHAnsi"/>
          <w:i/>
        </w:rPr>
        <w:t xml:space="preserve"> </w:t>
      </w:r>
      <w:r w:rsidRPr="00CF6AAC">
        <w:rPr>
          <w:rFonts w:asciiTheme="majorHAnsi" w:hAnsiTheme="majorHAnsi" w:cstheme="majorHAnsi"/>
          <w:i/>
        </w:rPr>
        <w:t xml:space="preserve">tháng </w:t>
      </w:r>
      <w:r w:rsidR="00244FF9" w:rsidRPr="00725381">
        <w:rPr>
          <w:rFonts w:asciiTheme="majorHAnsi" w:hAnsiTheme="majorHAnsi" w:cstheme="majorHAnsi"/>
          <w:i/>
        </w:rPr>
        <w:t>2</w:t>
      </w:r>
      <w:r w:rsidRPr="00CF6AAC">
        <w:rPr>
          <w:rFonts w:asciiTheme="majorHAnsi" w:hAnsiTheme="majorHAnsi" w:cstheme="majorHAnsi"/>
          <w:i/>
        </w:rPr>
        <w:t xml:space="preserve"> năm 202</w:t>
      </w:r>
      <w:r w:rsidR="00725381" w:rsidRPr="00725381">
        <w:rPr>
          <w:rFonts w:asciiTheme="majorHAnsi" w:hAnsiTheme="majorHAnsi" w:cstheme="majorHAnsi"/>
          <w:i/>
        </w:rPr>
        <w:t>2</w:t>
      </w:r>
      <w:r w:rsidRPr="00CF6AAC">
        <w:rPr>
          <w:rFonts w:asciiTheme="majorHAnsi" w:hAnsiTheme="majorHAnsi" w:cstheme="majorHAnsi"/>
          <w:i/>
        </w:rPr>
        <w:t xml:space="preserve"> của Sở Giáo dục và Đào tạo về công tác phổ biến, giáo dục pháp luật năm 20</w:t>
      </w:r>
      <w:r w:rsidR="00244FF9" w:rsidRPr="00725381">
        <w:rPr>
          <w:rFonts w:asciiTheme="majorHAnsi" w:hAnsiTheme="majorHAnsi" w:cstheme="majorHAnsi"/>
          <w:i/>
        </w:rPr>
        <w:t>2</w:t>
      </w:r>
      <w:r w:rsidR="00725381" w:rsidRPr="00725381">
        <w:rPr>
          <w:rFonts w:asciiTheme="majorHAnsi" w:hAnsiTheme="majorHAnsi" w:cstheme="majorHAnsi"/>
          <w:i/>
        </w:rPr>
        <w:t>2</w:t>
      </w:r>
      <w:r w:rsidR="00244FF9" w:rsidRPr="00725381">
        <w:rPr>
          <w:rFonts w:asciiTheme="majorHAnsi" w:hAnsiTheme="majorHAnsi" w:cstheme="majorHAnsi"/>
          <w:i/>
        </w:rPr>
        <w:t>;</w:t>
      </w:r>
    </w:p>
    <w:p w:rsidR="00244FF9" w:rsidRPr="00725381" w:rsidRDefault="00244FF9" w:rsidP="00597442">
      <w:pPr>
        <w:shd w:val="clear" w:color="auto" w:fill="FFFFFF"/>
        <w:spacing w:after="150" w:line="276" w:lineRule="auto"/>
        <w:ind w:firstLine="720"/>
        <w:jc w:val="both"/>
        <w:rPr>
          <w:rFonts w:asciiTheme="majorHAnsi" w:hAnsiTheme="majorHAnsi" w:cstheme="majorHAnsi"/>
          <w:i/>
        </w:rPr>
      </w:pPr>
      <w:r w:rsidRPr="00CF6AAC">
        <w:rPr>
          <w:i/>
        </w:rPr>
        <w:t>Căn cứ Kế hoạch số 1</w:t>
      </w:r>
      <w:r w:rsidR="00725381" w:rsidRPr="00725381">
        <w:rPr>
          <w:i/>
        </w:rPr>
        <w:t>19</w:t>
      </w:r>
      <w:r w:rsidRPr="00CF6AAC">
        <w:rPr>
          <w:i/>
        </w:rPr>
        <w:t xml:space="preserve"> /KH-PGD&amp;ĐT ngày 1</w:t>
      </w:r>
      <w:r w:rsidR="00725381" w:rsidRPr="00725381">
        <w:rPr>
          <w:i/>
        </w:rPr>
        <w:t>4</w:t>
      </w:r>
      <w:r w:rsidRPr="00CF6AAC">
        <w:rPr>
          <w:i/>
        </w:rPr>
        <w:t xml:space="preserve"> tháng 02 năm 202</w:t>
      </w:r>
      <w:r w:rsidR="00725381" w:rsidRPr="00725381">
        <w:rPr>
          <w:i/>
        </w:rPr>
        <w:t>2</w:t>
      </w:r>
      <w:r w:rsidRPr="00CF6AAC">
        <w:rPr>
          <w:i/>
        </w:rPr>
        <w:t xml:space="preserve"> của Phòng Giáo dục &amp; Đào tạo thành phố Uông Bí  về Kế hoạch công tác phổ biến giáo dục pháp luật năm</w:t>
      </w:r>
      <w:r w:rsidRPr="00725381">
        <w:rPr>
          <w:i/>
        </w:rPr>
        <w:t xml:space="preserve"> 202</w:t>
      </w:r>
      <w:r w:rsidR="00725381" w:rsidRPr="00725381">
        <w:rPr>
          <w:i/>
        </w:rPr>
        <w:t>2</w:t>
      </w:r>
      <w:r w:rsidRPr="00CF6AAC">
        <w:rPr>
          <w:i/>
        </w:rPr>
        <w:t>;</w:t>
      </w:r>
    </w:p>
    <w:p w:rsidR="00244FF9" w:rsidRPr="00CF6AAC" w:rsidRDefault="00244FF9" w:rsidP="00597442">
      <w:pPr>
        <w:tabs>
          <w:tab w:val="left" w:pos="720"/>
        </w:tabs>
        <w:spacing w:before="60" w:after="60" w:line="276" w:lineRule="auto"/>
        <w:jc w:val="both"/>
      </w:pPr>
      <w:r w:rsidRPr="00725381">
        <w:rPr>
          <w:rFonts w:asciiTheme="majorHAnsi" w:hAnsiTheme="majorHAnsi" w:cstheme="majorHAnsi"/>
          <w:i/>
        </w:rPr>
        <w:tab/>
      </w:r>
      <w:r w:rsidRPr="00CF6AAC">
        <w:t>Trường Tiểu học Phương Nam B xây dựng kế hoạch công tác phổ biến giáo dục pháp luật ngành Giáo dục năm 202</w:t>
      </w:r>
      <w:r w:rsidR="00725381" w:rsidRPr="00725381">
        <w:t>2</w:t>
      </w:r>
      <w:r w:rsidRPr="00CF6AAC">
        <w:t xml:space="preserve"> như sau:</w:t>
      </w:r>
    </w:p>
    <w:p w:rsidR="00244FF9" w:rsidRPr="00CF6AAC" w:rsidRDefault="00244FF9" w:rsidP="00597442">
      <w:pPr>
        <w:numPr>
          <w:ilvl w:val="0"/>
          <w:numId w:val="16"/>
        </w:numPr>
        <w:tabs>
          <w:tab w:val="left" w:pos="720"/>
        </w:tabs>
        <w:spacing w:before="60" w:after="60" w:line="276" w:lineRule="auto"/>
        <w:jc w:val="both"/>
        <w:rPr>
          <w:b/>
        </w:rPr>
      </w:pPr>
      <w:r w:rsidRPr="00CF6AAC">
        <w:rPr>
          <w:b/>
        </w:rPr>
        <w:t>Mục đích, yêu cầu</w:t>
      </w:r>
    </w:p>
    <w:p w:rsidR="00244FF9" w:rsidRPr="00CF6AAC" w:rsidRDefault="00244FF9" w:rsidP="00597442">
      <w:pPr>
        <w:numPr>
          <w:ilvl w:val="0"/>
          <w:numId w:val="17"/>
        </w:numPr>
        <w:tabs>
          <w:tab w:val="left" w:pos="720"/>
        </w:tabs>
        <w:spacing w:before="60" w:after="60" w:line="276" w:lineRule="auto"/>
        <w:jc w:val="both"/>
        <w:rPr>
          <w:b/>
        </w:rPr>
      </w:pPr>
      <w:r w:rsidRPr="00CF6AAC">
        <w:rPr>
          <w:b/>
        </w:rPr>
        <w:t>Mục đích</w:t>
      </w:r>
    </w:p>
    <w:p w:rsidR="00A5518C" w:rsidRPr="00A5518C" w:rsidRDefault="00CF6AAC" w:rsidP="00597442">
      <w:pPr>
        <w:tabs>
          <w:tab w:val="left" w:pos="720"/>
        </w:tabs>
        <w:spacing w:before="60" w:after="60" w:line="276" w:lineRule="auto"/>
        <w:ind w:left="360"/>
        <w:jc w:val="both"/>
        <w:rPr>
          <w:rStyle w:val="Strong"/>
          <w:b w:val="0"/>
          <w:shd w:val="clear" w:color="auto" w:fill="FFFFFF"/>
          <w:lang w:val="en-US"/>
        </w:rPr>
      </w:pPr>
      <w:r w:rsidRPr="005C4A8B">
        <w:tab/>
      </w:r>
      <w:r w:rsidR="00244FF9" w:rsidRPr="00CF6AAC">
        <w:t>- Tiếp tục thực hiện có chất lượng, hiệu quả các nhiệm vụ được giao năm 202</w:t>
      </w:r>
      <w:r w:rsidR="00725381" w:rsidRPr="00725381">
        <w:t>2</w:t>
      </w:r>
      <w:r w:rsidR="00244FF9" w:rsidRPr="00CF6AAC">
        <w:t xml:space="preserve"> theo kết luận số 80-KL/TW của Ban Bí thư; Luật Phổ biến, giáo dục pháp luật năm 2012; Luật Tiếp cận thông tin năm 2016; Quyết định số 1521/QĐ-TTg ngày 06/10/2020 của Thủ tướng Chính phủ ban hành Kế hoạch thực hiện Kết luận số 80-KL/TW của Ban Bí thư, các văn bản của Thủ tướng Chính phủ, Ủy ban nhân dân tỉnh, Bộ GD&amp;ĐT về PBGDPL và các văn bản quy định của trung ương, các Điều ước quốc tế về nhân quyền mà Việt Nam là thành viên; nhiệm vụ trọng tâm của công tác tư pháp tỉnh Quảng Ninh năm 202</w:t>
      </w:r>
      <w:r w:rsidR="00725381" w:rsidRPr="00725381">
        <w:t>2</w:t>
      </w:r>
      <w:r w:rsidR="00244FF9" w:rsidRPr="00CF6AAC">
        <w:t xml:space="preserve"> gắn với thực  hiện chủ đề công tác năm của Tỉnh: </w:t>
      </w:r>
      <w:r w:rsidR="00A5518C" w:rsidRPr="00A5518C">
        <w:rPr>
          <w:rStyle w:val="Strong"/>
          <w:b w:val="0"/>
          <w:shd w:val="clear" w:color="auto" w:fill="FFFFFF"/>
        </w:rPr>
        <w:t>“Thích ứng an toàn, linh hoạt, kiểm soát hiệu quả dịch Covid-19; giữ vững đà tăng trưởng; phát triển nguồn nhân lực chất lượng cao”</w:t>
      </w:r>
    </w:p>
    <w:p w:rsidR="00244FF9" w:rsidRPr="00CF6AAC" w:rsidRDefault="00CF6AAC" w:rsidP="00597442">
      <w:pPr>
        <w:tabs>
          <w:tab w:val="left" w:pos="720"/>
        </w:tabs>
        <w:spacing w:before="60" w:after="60" w:line="276" w:lineRule="auto"/>
        <w:ind w:left="360"/>
        <w:jc w:val="both"/>
      </w:pPr>
      <w:r w:rsidRPr="005C4A8B">
        <w:tab/>
      </w:r>
      <w:r w:rsidR="00244FF9" w:rsidRPr="00CF6AAC">
        <w:t>- Nâng cao hiệu quả công tác quản lí nhà nước về PBGDPL, hòa giải ở cơ quan; nâng cao trách nhiệm tự học tập, tìm hiểu pháp luật của cán bộ, giáo viên, học sinh; nghĩa vụ học tập pháp luật gắn với giáo dục tư tưởng chính trị, đạo đức lối sống của cán bộ, giáo viên, học sinh nhằm tạo chuyển biến căn bản trong ý thức tuân thủ và chấp hành pháp luật.</w:t>
      </w:r>
    </w:p>
    <w:p w:rsidR="00A5518C" w:rsidRPr="00D266BC" w:rsidRDefault="00CF6AAC" w:rsidP="00D266BC">
      <w:pPr>
        <w:tabs>
          <w:tab w:val="left" w:pos="720"/>
        </w:tabs>
        <w:spacing w:before="60" w:after="60" w:line="276" w:lineRule="auto"/>
        <w:ind w:left="360"/>
        <w:jc w:val="both"/>
      </w:pPr>
      <w:r w:rsidRPr="005C4A8B">
        <w:tab/>
      </w:r>
      <w:r w:rsidR="00244FF9" w:rsidRPr="00CF6AAC">
        <w:t>- Đổi mới nội dung, hình thức PBGDPL gắn với những vấn đề giáo dục được xã hội quan tâm hoặc cần định hướng liên quan đến nhiệm vụ chính trị của ngành;</w:t>
      </w:r>
    </w:p>
    <w:p w:rsidR="00244FF9" w:rsidRPr="00CF6AAC" w:rsidRDefault="00244FF9" w:rsidP="00597442">
      <w:pPr>
        <w:tabs>
          <w:tab w:val="left" w:pos="720"/>
        </w:tabs>
        <w:spacing w:before="60" w:after="60" w:line="276" w:lineRule="auto"/>
        <w:ind w:left="360"/>
        <w:jc w:val="both"/>
        <w:rPr>
          <w:b/>
        </w:rPr>
      </w:pPr>
      <w:r w:rsidRPr="00CF6AAC">
        <w:rPr>
          <w:b/>
        </w:rPr>
        <w:t>2. Yêu cầu</w:t>
      </w:r>
    </w:p>
    <w:p w:rsidR="00244FF9" w:rsidRPr="00CF6AAC" w:rsidRDefault="00244FF9" w:rsidP="00597442">
      <w:pPr>
        <w:pStyle w:val="Bodytext21"/>
        <w:shd w:val="clear" w:color="auto" w:fill="auto"/>
        <w:tabs>
          <w:tab w:val="left" w:pos="1281"/>
        </w:tabs>
        <w:spacing w:before="60" w:after="60" w:line="276" w:lineRule="auto"/>
        <w:jc w:val="both"/>
        <w:rPr>
          <w:sz w:val="28"/>
          <w:szCs w:val="28"/>
        </w:rPr>
      </w:pPr>
      <w:r w:rsidRPr="00CF6AAC">
        <w:rPr>
          <w:rStyle w:val="Bodytext2"/>
          <w:color w:val="000000"/>
          <w:sz w:val="28"/>
          <w:szCs w:val="28"/>
        </w:rPr>
        <w:t xml:space="preserve">            - Quán triệt và thực hiện đầy đủ chủ trương, chính sách của Đảng, pháp luật </w:t>
      </w:r>
      <w:r w:rsidRPr="00CF6AAC">
        <w:rPr>
          <w:rStyle w:val="Bodytext2"/>
          <w:color w:val="000000"/>
          <w:sz w:val="28"/>
          <w:szCs w:val="28"/>
        </w:rPr>
        <w:lastRenderedPageBreak/>
        <w:t>của Nhà nước về PBGDPL. Nội dung PBGDPL cần bám sát các nhiệm vụ trọng tâm của ngành giáo dục năm 202</w:t>
      </w:r>
      <w:r w:rsidR="00725381" w:rsidRPr="00725381">
        <w:rPr>
          <w:rStyle w:val="Bodytext2"/>
          <w:color w:val="000000"/>
          <w:sz w:val="28"/>
          <w:szCs w:val="28"/>
        </w:rPr>
        <w:t>2</w:t>
      </w:r>
      <w:r w:rsidRPr="00CF6AAC">
        <w:rPr>
          <w:rStyle w:val="Bodytext2"/>
          <w:color w:val="000000"/>
          <w:sz w:val="28"/>
          <w:szCs w:val="28"/>
        </w:rPr>
        <w:t>, gắn với triển khai thực hiện Nghị quyêt số 29-NQ/TW ngày 04/11/2013 của Ban Chấp hành Trung ương và ỵêu cầu thực hiện nhiệm vụ công tác năm của tỉnh, của Thành úy UBND thành phô.</w:t>
      </w:r>
    </w:p>
    <w:p w:rsidR="00244FF9" w:rsidRPr="00CF6AAC" w:rsidRDefault="00244FF9" w:rsidP="00597442">
      <w:pPr>
        <w:pStyle w:val="Bodytext21"/>
        <w:shd w:val="clear" w:color="auto" w:fill="auto"/>
        <w:tabs>
          <w:tab w:val="left" w:pos="1281"/>
        </w:tabs>
        <w:spacing w:before="60" w:after="60" w:line="276" w:lineRule="auto"/>
        <w:jc w:val="both"/>
        <w:rPr>
          <w:sz w:val="28"/>
          <w:szCs w:val="28"/>
        </w:rPr>
      </w:pPr>
      <w:r w:rsidRPr="00CF6AAC">
        <w:rPr>
          <w:sz w:val="28"/>
          <w:szCs w:val="28"/>
        </w:rPr>
        <w:t xml:space="preserve">          - </w:t>
      </w:r>
      <w:r w:rsidRPr="00CF6AAC">
        <w:rPr>
          <w:rStyle w:val="Bodytext2"/>
          <w:color w:val="000000"/>
          <w:sz w:val="28"/>
          <w:szCs w:val="28"/>
        </w:rPr>
        <w:t>Tập trung tuyên truyền, phổ biến các quy định pháp luật mà dư luận xã hội quan tâm hoặc cấn định hướng dư luận, các quy định pháp luật mới ban hành liên quan đến quản lý nhà nước về giáo dục và đào tạo;</w:t>
      </w:r>
    </w:p>
    <w:p w:rsidR="00244FF9" w:rsidRPr="00CF6AAC" w:rsidRDefault="00244FF9" w:rsidP="00597442">
      <w:pPr>
        <w:pStyle w:val="Bodytext21"/>
        <w:shd w:val="clear" w:color="auto" w:fill="auto"/>
        <w:tabs>
          <w:tab w:val="left" w:pos="1288"/>
        </w:tabs>
        <w:spacing w:before="60" w:after="60" w:line="276" w:lineRule="auto"/>
        <w:jc w:val="both"/>
        <w:rPr>
          <w:sz w:val="28"/>
          <w:szCs w:val="28"/>
        </w:rPr>
      </w:pPr>
      <w:r w:rsidRPr="00CF6AAC">
        <w:rPr>
          <w:sz w:val="28"/>
          <w:szCs w:val="28"/>
        </w:rPr>
        <w:t xml:space="preserve">         - </w:t>
      </w:r>
      <w:r w:rsidRPr="00CF6AAC">
        <w:rPr>
          <w:rStyle w:val="Bodytext2"/>
          <w:color w:val="000000"/>
          <w:sz w:val="28"/>
          <w:szCs w:val="28"/>
        </w:rPr>
        <w:t>Kết họp giáo dục pháp luật với giáo dục lý tưởng cách mạng, đạo đức, lối sống cho học sinh; lồng ghép hoạt động PBGDPL với các cuộc vận động, các hoạt động ngoại khóa và các phong trào thi đua lớn của ngành trong năm 202</w:t>
      </w:r>
      <w:r w:rsidR="00725381" w:rsidRPr="00725381">
        <w:rPr>
          <w:rStyle w:val="Bodytext2"/>
          <w:color w:val="000000"/>
          <w:sz w:val="28"/>
          <w:szCs w:val="28"/>
        </w:rPr>
        <w:t>2</w:t>
      </w:r>
      <w:r w:rsidRPr="00CF6AAC">
        <w:rPr>
          <w:rStyle w:val="Bodytext2"/>
          <w:color w:val="000000"/>
          <w:sz w:val="28"/>
          <w:szCs w:val="28"/>
        </w:rPr>
        <w:t>;</w:t>
      </w:r>
    </w:p>
    <w:p w:rsidR="00244FF9" w:rsidRPr="00CF6AAC" w:rsidRDefault="00244FF9" w:rsidP="00597442">
      <w:pPr>
        <w:pStyle w:val="Bodytext21"/>
        <w:shd w:val="clear" w:color="auto" w:fill="auto"/>
        <w:tabs>
          <w:tab w:val="left" w:pos="1288"/>
        </w:tabs>
        <w:spacing w:before="60" w:after="60" w:line="276" w:lineRule="auto"/>
        <w:jc w:val="both"/>
        <w:rPr>
          <w:rStyle w:val="Bodytext2"/>
          <w:spacing w:val="-6"/>
          <w:sz w:val="28"/>
          <w:szCs w:val="28"/>
        </w:rPr>
      </w:pPr>
      <w:r w:rsidRPr="00CF6AAC">
        <w:rPr>
          <w:spacing w:val="-6"/>
          <w:sz w:val="28"/>
          <w:szCs w:val="28"/>
        </w:rPr>
        <w:t xml:space="preserve">           - </w:t>
      </w:r>
      <w:r w:rsidRPr="00CF6AAC">
        <w:rPr>
          <w:rStyle w:val="Bodytext2"/>
          <w:color w:val="000000"/>
          <w:spacing w:val="-6"/>
          <w:sz w:val="28"/>
          <w:szCs w:val="28"/>
        </w:rPr>
        <w:t>Việc triển khai công tác PBGDPL phải có trọng tâm, trọng điểm, thiết thực, chất lượng, tiết kiệm và hiệu quả. Xác định cụ thể nội dung công việc, thời hạn hoàn thành và trách nhiệm của từng cá nhân, đơn vị liên quan trong việc triên khai thực hiện.</w:t>
      </w:r>
    </w:p>
    <w:p w:rsidR="00244FF9" w:rsidRPr="00CF6AAC" w:rsidRDefault="00244FF9" w:rsidP="00597442">
      <w:pPr>
        <w:pStyle w:val="Bodytext21"/>
        <w:shd w:val="clear" w:color="auto" w:fill="auto"/>
        <w:tabs>
          <w:tab w:val="left" w:pos="1288"/>
        </w:tabs>
        <w:spacing w:before="60" w:after="60" w:line="276" w:lineRule="auto"/>
        <w:jc w:val="both"/>
        <w:rPr>
          <w:sz w:val="28"/>
          <w:szCs w:val="28"/>
        </w:rPr>
      </w:pPr>
      <w:r w:rsidRPr="00CF6AAC">
        <w:rPr>
          <w:rStyle w:val="Bodytext2"/>
          <w:b/>
          <w:color w:val="000000"/>
          <w:sz w:val="28"/>
          <w:szCs w:val="28"/>
        </w:rPr>
        <w:t>II</w:t>
      </w:r>
      <w:r w:rsidRPr="00CF6AAC">
        <w:rPr>
          <w:rFonts w:eastAsia="Arial Unicode MS"/>
          <w:b/>
          <w:bCs/>
          <w:color w:val="000000"/>
          <w:sz w:val="28"/>
          <w:szCs w:val="28"/>
        </w:rPr>
        <w:t xml:space="preserve">. </w:t>
      </w:r>
      <w:r w:rsidRPr="00CF6AAC">
        <w:rPr>
          <w:rFonts w:eastAsia="Arial Unicode MS"/>
          <w:b/>
          <w:color w:val="000000"/>
          <w:sz w:val="28"/>
          <w:szCs w:val="28"/>
        </w:rPr>
        <w:t>Các hoạt động và nhiệm vụ cụ thể</w:t>
      </w:r>
    </w:p>
    <w:p w:rsidR="00244FF9" w:rsidRPr="00CF6AAC" w:rsidRDefault="00244FF9" w:rsidP="00597442">
      <w:pPr>
        <w:widowControl w:val="0"/>
        <w:tabs>
          <w:tab w:val="left" w:pos="1367"/>
        </w:tabs>
        <w:spacing w:before="60" w:after="60" w:line="276" w:lineRule="auto"/>
        <w:rPr>
          <w:rFonts w:eastAsia="Arial Unicode MS"/>
        </w:rPr>
      </w:pPr>
      <w:r w:rsidRPr="00CF6AAC">
        <w:rPr>
          <w:rFonts w:eastAsia="Arial Unicode MS"/>
          <w:color w:val="000000"/>
        </w:rPr>
        <w:t xml:space="preserve">       1. Tiếp tục triển khai hiệu quả Luật Hòa giải ở cơ sở năm 2013 và các văn bản hướng dẫn thi hành.</w:t>
      </w:r>
    </w:p>
    <w:p w:rsidR="00244FF9" w:rsidRPr="00CF6AAC" w:rsidRDefault="00244FF9" w:rsidP="00597442">
      <w:pPr>
        <w:widowControl w:val="0"/>
        <w:tabs>
          <w:tab w:val="left" w:pos="1375"/>
        </w:tabs>
        <w:spacing w:before="60" w:after="60" w:line="276" w:lineRule="auto"/>
        <w:jc w:val="both"/>
        <w:rPr>
          <w:rFonts w:eastAsia="Arial Unicode MS"/>
        </w:rPr>
      </w:pPr>
      <w:r w:rsidRPr="00CF6AAC">
        <w:rPr>
          <w:rFonts w:eastAsia="Arial Unicode MS"/>
          <w:color w:val="000000"/>
        </w:rPr>
        <w:t xml:space="preserve">        2. Củng cố, kiện toàn tổ chức bộ máy, nâng cao chất lượng nguồn nhân lực làm công tác quản lý nhà nước về PBGDPL, hòa giải ở cơ sở, chú trọng tập huấn, bồi dưỡng kỹ năng PBGDPL, cập nhật thông tin, kiến thức pháp luật.</w:t>
      </w:r>
    </w:p>
    <w:p w:rsidR="00244FF9" w:rsidRPr="00CF6AAC" w:rsidRDefault="00244FF9" w:rsidP="00597442">
      <w:pPr>
        <w:widowControl w:val="0"/>
        <w:tabs>
          <w:tab w:val="left" w:pos="1371"/>
        </w:tabs>
        <w:spacing w:before="60" w:after="60" w:line="276" w:lineRule="auto"/>
        <w:jc w:val="both"/>
        <w:rPr>
          <w:rFonts w:eastAsia="Arial Unicode MS"/>
        </w:rPr>
      </w:pPr>
      <w:r w:rsidRPr="00CF6AAC">
        <w:rPr>
          <w:rFonts w:eastAsia="Arial Unicode MS"/>
          <w:color w:val="000000"/>
        </w:rPr>
        <w:t xml:space="preserve">         3. Tăng cường phối hợp về PBGDPL, hòa giải ở cơ sở; huy động sự tham gia của tổ chức chính trị - xã hội, tổ chức xã hội nghề nghiệp về pháp luật, tổ chức hành nghề về pháp luật, cá nhân, tổ chức khác và sự hỗ trợ, tài trợ kinh phí cho công tác PBGDPL, hòa giải ở cơ sở.</w:t>
      </w:r>
    </w:p>
    <w:p w:rsidR="00244FF9" w:rsidRPr="00CF6AAC" w:rsidRDefault="00244FF9" w:rsidP="00597442">
      <w:pPr>
        <w:widowControl w:val="0"/>
        <w:tabs>
          <w:tab w:val="left" w:pos="1373"/>
        </w:tabs>
        <w:spacing w:before="60" w:after="60" w:line="276" w:lineRule="auto"/>
        <w:jc w:val="both"/>
        <w:rPr>
          <w:rFonts w:eastAsia="Arial Unicode MS"/>
        </w:rPr>
      </w:pPr>
      <w:r w:rsidRPr="00CF6AAC">
        <w:rPr>
          <w:rFonts w:eastAsia="Arial Unicode MS"/>
          <w:color w:val="000000"/>
        </w:rPr>
        <w:t xml:space="preserve">         4. Công tác phổ biến giáo dục pháp luật:</w:t>
      </w:r>
    </w:p>
    <w:p w:rsidR="00244FF9" w:rsidRPr="00CF6AAC" w:rsidRDefault="00244FF9" w:rsidP="00597442">
      <w:pPr>
        <w:widowControl w:val="0"/>
        <w:tabs>
          <w:tab w:val="left" w:pos="1396"/>
        </w:tabs>
        <w:spacing w:before="60" w:after="60" w:line="276" w:lineRule="auto"/>
        <w:jc w:val="both"/>
        <w:rPr>
          <w:rFonts w:eastAsia="Arial Unicode MS"/>
        </w:rPr>
      </w:pPr>
      <w:r w:rsidRPr="00CF6AAC">
        <w:rPr>
          <w:rFonts w:eastAsia="Arial Unicode MS"/>
          <w:color w:val="000000"/>
        </w:rPr>
        <w:t xml:space="preserve">          a) Phổ biến thường xuyên, kịp thời các quy định mới của pháp luật về lĩnh vực giáo dục và  đào tạo; các quy định pháp luật phù hợp với chức năng, nhiệm vụ của từng đối tượng cán bộ, công chức, viên chức, nhà giáo, người lao động, người học thuộc phạm vi quản lý của đơn vị; tăng cường công tác theo dõi, giám sát việc thực hiện các văn bản quy phạm pháp luật về giáo dục, các văn bản chỉ đạo của ngành.</w:t>
      </w:r>
      <w:r w:rsidRPr="00CF6AAC">
        <w:rPr>
          <w:rFonts w:eastAsia="Arial Unicode MS"/>
        </w:rPr>
        <w:t xml:space="preserve"> </w:t>
      </w:r>
    </w:p>
    <w:p w:rsidR="00244FF9" w:rsidRPr="00CF6AAC" w:rsidRDefault="00244FF9" w:rsidP="00597442">
      <w:pPr>
        <w:widowControl w:val="0"/>
        <w:tabs>
          <w:tab w:val="left" w:pos="1396"/>
        </w:tabs>
        <w:spacing w:before="60" w:after="60" w:line="276" w:lineRule="auto"/>
        <w:jc w:val="both"/>
        <w:rPr>
          <w:rFonts w:eastAsia="Arial Unicode MS"/>
        </w:rPr>
      </w:pPr>
      <w:r w:rsidRPr="00CF6AAC">
        <w:rPr>
          <w:rFonts w:eastAsia="Arial Unicode MS"/>
        </w:rPr>
        <w:t xml:space="preserve">         </w:t>
      </w:r>
      <w:r w:rsidRPr="00CF6AAC">
        <w:rPr>
          <w:rFonts w:eastAsia="Arial Unicode MS"/>
          <w:color w:val="000000"/>
        </w:rPr>
        <w:t>- Đẩy mạnh các hoạt động tuyên truyền, phổ biến các văn bản pháp luật được ban hành hoặc thông qua năm 202</w:t>
      </w:r>
      <w:r w:rsidR="00725381" w:rsidRPr="00725381">
        <w:rPr>
          <w:rFonts w:eastAsia="Arial Unicode MS"/>
          <w:color w:val="000000"/>
        </w:rPr>
        <w:t>1</w:t>
      </w:r>
      <w:r w:rsidRPr="00CF6AAC">
        <w:rPr>
          <w:rFonts w:eastAsia="Arial Unicode MS"/>
          <w:color w:val="000000"/>
        </w:rPr>
        <w:t>, năm 202</w:t>
      </w:r>
      <w:r w:rsidR="00725381" w:rsidRPr="00725381">
        <w:rPr>
          <w:rFonts w:eastAsia="Arial Unicode MS"/>
          <w:color w:val="000000"/>
        </w:rPr>
        <w:t>2</w:t>
      </w:r>
      <w:r w:rsidRPr="00CF6AAC">
        <w:rPr>
          <w:rFonts w:eastAsia="Arial Unicode MS"/>
          <w:color w:val="000000"/>
        </w:rPr>
        <w:t>; các văn bản liên quan đến thực hiện chủ đề công tác năm 202</w:t>
      </w:r>
      <w:r w:rsidR="00725381" w:rsidRPr="00725381">
        <w:rPr>
          <w:rFonts w:eastAsia="Arial Unicode MS"/>
          <w:color w:val="000000"/>
        </w:rPr>
        <w:t>2</w:t>
      </w:r>
      <w:r w:rsidRPr="00CF6AAC">
        <w:rPr>
          <w:rFonts w:eastAsia="Arial Unicode MS"/>
          <w:color w:val="000000"/>
        </w:rPr>
        <w:t xml:space="preserve"> của tỉnh, Sở GDĐT, UBND thành phố, Phòng GDĐT; các quy định pháp luật, dự thảo luật, pháp luật quan trọng liên quan đến ngành, công tác phòng chống tham nhũng, tiếp cận thông tin; các điều ước quốc tế ký kết giữa Việt Nam với các nước và các văn bản quy phạm pháp luật do Hội đồng nhân dân, ủy ban nhân dân các cấp tỉnh, cấp thành phố ban hành.</w:t>
      </w:r>
    </w:p>
    <w:p w:rsidR="00244FF9" w:rsidRPr="00CF6AAC" w:rsidRDefault="00244FF9" w:rsidP="00597442">
      <w:pPr>
        <w:widowControl w:val="0"/>
        <w:tabs>
          <w:tab w:val="left" w:pos="1347"/>
        </w:tabs>
        <w:spacing w:before="60" w:after="60" w:line="276" w:lineRule="auto"/>
        <w:ind w:right="300"/>
        <w:jc w:val="both"/>
        <w:rPr>
          <w:rFonts w:eastAsia="Arial Unicode MS"/>
        </w:rPr>
      </w:pPr>
      <w:r w:rsidRPr="00CF6AAC">
        <w:rPr>
          <w:rFonts w:eastAsia="Arial Unicode MS"/>
          <w:color w:val="000000"/>
        </w:rPr>
        <w:lastRenderedPageBreak/>
        <w:t xml:space="preserve">         b)</w:t>
      </w:r>
      <w:r w:rsidR="00D266BC" w:rsidRPr="00D266BC">
        <w:rPr>
          <w:rFonts w:eastAsia="Arial Unicode MS"/>
          <w:color w:val="000000"/>
        </w:rPr>
        <w:t xml:space="preserve"> </w:t>
      </w:r>
      <w:r w:rsidRPr="00CF6AAC">
        <w:rPr>
          <w:rFonts w:eastAsia="Arial Unicode MS"/>
          <w:color w:val="000000"/>
        </w:rPr>
        <w:t>Tiếp tục rà soát, củng cố, kiện toàn đội ngũ báo cáo viên pháp luật, tuyên truyền viên pháp luật; thực hiện công tác đào tạo, bồi dưỡng kiến thức pháp luật, kỹ năng PBGDPL cho đội ngũ giáo viên môn giáo dục công dân, báo cáo viên và cán bộ phụ trách công tác PBGDPL ở đơn vị.</w:t>
      </w:r>
    </w:p>
    <w:p w:rsidR="00244FF9" w:rsidRPr="00CF6AAC" w:rsidRDefault="00244FF9" w:rsidP="00597442">
      <w:pPr>
        <w:widowControl w:val="0"/>
        <w:tabs>
          <w:tab w:val="left" w:pos="1336"/>
        </w:tabs>
        <w:spacing w:before="60" w:after="60" w:line="276" w:lineRule="auto"/>
        <w:ind w:right="300"/>
        <w:jc w:val="both"/>
        <w:rPr>
          <w:rFonts w:eastAsia="Arial Unicode MS"/>
        </w:rPr>
      </w:pPr>
      <w:r w:rsidRPr="00CF6AAC">
        <w:rPr>
          <w:rFonts w:eastAsia="Arial Unicode MS"/>
          <w:color w:val="000000"/>
        </w:rPr>
        <w:t xml:space="preserve">      c)</w:t>
      </w:r>
      <w:r w:rsidR="00D266BC" w:rsidRPr="00D266BC">
        <w:rPr>
          <w:rFonts w:eastAsia="Arial Unicode MS"/>
          <w:color w:val="000000"/>
        </w:rPr>
        <w:t xml:space="preserve"> </w:t>
      </w:r>
      <w:r w:rsidRPr="00CF6AAC">
        <w:rPr>
          <w:rFonts w:eastAsia="Arial Unicode MS"/>
          <w:color w:val="000000"/>
        </w:rPr>
        <w:t>Tăng cường chỉ đạo điểm về công tác PBGDPL; chỉ đạo, hướng dẫn, phôi họp thực hiện nâng cao hiệu quả công tác PBGDPL trong nhà trường, chú trọng đổi mới nội dung, hình thức giảng dạy, học tập môn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huông thực tế để nâng cao ý thức trách nhiệm công dân trong tuân thủ và chấp hành pháp luật; tăng cường nội dung PBGDPL trong các chương trình ngoại khóa và các hoạt động ngoài giờ lên lớp.</w:t>
      </w:r>
    </w:p>
    <w:p w:rsidR="00244FF9" w:rsidRPr="00CF6AAC" w:rsidRDefault="00244FF9" w:rsidP="00597442">
      <w:pPr>
        <w:widowControl w:val="0"/>
        <w:tabs>
          <w:tab w:val="left" w:pos="1340"/>
        </w:tabs>
        <w:spacing w:before="60" w:after="60" w:line="276" w:lineRule="auto"/>
        <w:ind w:right="300"/>
        <w:jc w:val="both"/>
        <w:rPr>
          <w:rFonts w:eastAsia="Arial Unicode MS"/>
        </w:rPr>
      </w:pPr>
      <w:r w:rsidRPr="00CF6AAC">
        <w:rPr>
          <w:rFonts w:eastAsia="Arial Unicode MS"/>
          <w:color w:val="000000"/>
        </w:rPr>
        <w:t xml:space="preserve">      d) Tiếp tục bổ sung các phương tiện, thiết bị, tài liệu, học liệu hỗ trợ công tác PBGDPL; phát động phong trào viết sáng kiến kinh nghiệm, làm đồ dùng dạy học; sưu tâm hình ảnh, tư liệu phục vụ công tác PBGDPL trong chương trình chính khóa và ngoại khóa.</w:t>
      </w:r>
    </w:p>
    <w:p w:rsidR="00244FF9" w:rsidRPr="00CF6AAC" w:rsidRDefault="00244FF9" w:rsidP="00597442">
      <w:pPr>
        <w:widowControl w:val="0"/>
        <w:tabs>
          <w:tab w:val="left" w:pos="1340"/>
        </w:tabs>
        <w:spacing w:before="60" w:after="60" w:line="276" w:lineRule="auto"/>
        <w:ind w:right="300"/>
        <w:jc w:val="both"/>
        <w:rPr>
          <w:rFonts w:eastAsia="Arial Unicode MS"/>
        </w:rPr>
      </w:pPr>
      <w:r w:rsidRPr="00CF6AAC">
        <w:rPr>
          <w:rFonts w:eastAsia="Arial Unicode MS"/>
        </w:rPr>
        <w:t xml:space="preserve">       </w:t>
      </w:r>
      <w:r w:rsidRPr="00CF6AAC">
        <w:rPr>
          <w:rFonts w:eastAsia="Arial Unicode MS"/>
          <w:color w:val="000000"/>
        </w:rPr>
        <w:t>đ) Thực hiện chuyển đổi số trong PBGDPL phù hợp với yêu cầu tình hình mới, gắn với triển khai hiệu quả Đề án “Tăng cường ứng dụng công nghệ thông tin trong công tác PBGDPL giai đoạn 2019 - 2021”.</w:t>
      </w:r>
    </w:p>
    <w:p w:rsidR="00244FF9" w:rsidRPr="00CF6AAC" w:rsidRDefault="00244FF9" w:rsidP="00597442">
      <w:pPr>
        <w:widowControl w:val="0"/>
        <w:tabs>
          <w:tab w:val="left" w:pos="1325"/>
        </w:tabs>
        <w:spacing w:before="60" w:after="60" w:line="276" w:lineRule="auto"/>
        <w:ind w:right="300"/>
        <w:jc w:val="both"/>
        <w:rPr>
          <w:rFonts w:eastAsia="Arial Unicode MS"/>
        </w:rPr>
      </w:pPr>
      <w:r w:rsidRPr="00CF6AAC">
        <w:rPr>
          <w:rFonts w:eastAsia="Arial Unicode MS"/>
          <w:color w:val="000000"/>
        </w:rPr>
        <w:t xml:space="preserve">         e) Tổ chức đợt cao điểm PBGDPL phục vụ bầu cử đại biểu Quốc hội khóa XV và đại biểu Hội đồng nhân dân các cấp nhiệm kỳ 2021 - 2026 vào quý I, II năm 2021.</w:t>
      </w:r>
    </w:p>
    <w:p w:rsidR="00244FF9" w:rsidRPr="00CF6AAC" w:rsidRDefault="00244FF9" w:rsidP="00597442">
      <w:pPr>
        <w:widowControl w:val="0"/>
        <w:tabs>
          <w:tab w:val="left" w:pos="1318"/>
        </w:tabs>
        <w:spacing w:before="60" w:after="60" w:line="276" w:lineRule="auto"/>
        <w:ind w:right="300"/>
        <w:jc w:val="both"/>
        <w:rPr>
          <w:rFonts w:eastAsia="Arial Unicode MS"/>
        </w:rPr>
      </w:pPr>
      <w:r w:rsidRPr="00CF6AAC">
        <w:rPr>
          <w:rFonts w:eastAsia="Arial Unicode MS"/>
          <w:color w:val="000000"/>
        </w:rPr>
        <w:t xml:space="preserve">         g) Triển khai thực hiện có hiệu quả các nhiệm vụ được giao tại Quyết định số 14/2019/QĐ-TTg của Thủ tướng Chính phủ về xây dựng, quản lý, khai thác Tủ sách pháp luật.</w:t>
      </w:r>
    </w:p>
    <w:p w:rsidR="00244FF9" w:rsidRPr="00CF6AAC" w:rsidRDefault="00244FF9" w:rsidP="00597442">
      <w:pPr>
        <w:widowControl w:val="0"/>
        <w:tabs>
          <w:tab w:val="left" w:pos="1318"/>
        </w:tabs>
        <w:spacing w:before="60" w:after="60" w:line="276" w:lineRule="auto"/>
        <w:ind w:right="300"/>
        <w:jc w:val="both"/>
        <w:rPr>
          <w:rFonts w:eastAsia="Arial Unicode MS"/>
        </w:rPr>
      </w:pPr>
      <w:r w:rsidRPr="00CF6AAC">
        <w:rPr>
          <w:rFonts w:eastAsia="Arial Unicode MS"/>
          <w:color w:val="000000"/>
        </w:rPr>
        <w:t xml:space="preserve">         h) Tăng cường công tác phối họp giữa các cơ quan, đơn vị và các địa phương trong công tác PBGDPL.</w:t>
      </w:r>
    </w:p>
    <w:p w:rsidR="00244FF9" w:rsidRPr="00CF6AAC" w:rsidRDefault="00244FF9" w:rsidP="00597442">
      <w:pPr>
        <w:widowControl w:val="0"/>
        <w:tabs>
          <w:tab w:val="left" w:pos="1329"/>
        </w:tabs>
        <w:spacing w:before="60" w:after="60" w:line="276" w:lineRule="auto"/>
        <w:ind w:right="300"/>
        <w:jc w:val="both"/>
        <w:rPr>
          <w:rFonts w:eastAsia="Arial Unicode MS"/>
        </w:rPr>
      </w:pPr>
      <w:r w:rsidRPr="00CF6AAC">
        <w:rPr>
          <w:rFonts w:eastAsia="Arial Unicode MS"/>
          <w:color w:val="000000"/>
        </w:rPr>
        <w:t xml:space="preserve">          i) Tổng hợp, đánh giá, chấm điểm, xếp loại công tác PBGDPL; báo cáo kết quả 03 năm thực hiện Thông tư số 03/2018/TT-BTP ngày 10/3/2018 của Bộ Tư pháp quy định Bộ Tiêu chí đánh giá hiệu quả công tác PBGDPL.</w:t>
      </w:r>
    </w:p>
    <w:p w:rsidR="00244FF9" w:rsidRPr="00CF6AAC" w:rsidRDefault="00244FF9" w:rsidP="00597442">
      <w:pPr>
        <w:widowControl w:val="0"/>
        <w:tabs>
          <w:tab w:val="left" w:pos="1329"/>
        </w:tabs>
        <w:spacing w:before="60" w:after="60" w:line="276" w:lineRule="auto"/>
        <w:ind w:right="300"/>
        <w:jc w:val="both"/>
        <w:rPr>
          <w:rFonts w:eastAsia="Arial Unicode MS"/>
        </w:rPr>
      </w:pPr>
      <w:r w:rsidRPr="00CF6AAC">
        <w:rPr>
          <w:rFonts w:eastAsia="Arial Unicode MS"/>
        </w:rPr>
        <w:t xml:space="preserve">           </w:t>
      </w:r>
      <w:r w:rsidRPr="00CF6AAC">
        <w:rPr>
          <w:rFonts w:eastAsia="Arial Unicode MS"/>
          <w:color w:val="000000"/>
        </w:rPr>
        <w:t>k) Tổ chức triển khai các hoạt động hưởng ứng Ngày Pháp luật Viêt Nam năm 202</w:t>
      </w:r>
      <w:r w:rsidR="00725381" w:rsidRPr="00725381">
        <w:rPr>
          <w:rFonts w:eastAsia="Arial Unicode MS"/>
          <w:color w:val="000000"/>
        </w:rPr>
        <w:t>2</w:t>
      </w:r>
      <w:r w:rsidRPr="00CF6AAC">
        <w:rPr>
          <w:rFonts w:eastAsia="Arial Unicode MS"/>
          <w:color w:val="000000"/>
        </w:rPr>
        <w:t xml:space="preserve"> đi vào ch</w:t>
      </w:r>
      <w:r w:rsidR="00725381" w:rsidRPr="00725381">
        <w:rPr>
          <w:rFonts w:eastAsia="Arial Unicode MS"/>
          <w:color w:val="000000"/>
        </w:rPr>
        <w:t>iều</w:t>
      </w:r>
      <w:r w:rsidRPr="00CF6AAC">
        <w:rPr>
          <w:rFonts w:eastAsia="Arial Unicode MS"/>
          <w:color w:val="000000"/>
        </w:rPr>
        <w:t xml:space="preserve"> sâu, thiêt thực gắn với thực hiện nhiệm vụ trọng tâm của các đơn vị, ngành; hưởng ứng, tạo điêu kiện cho học sinh tích cực tham các cuộc</w:t>
      </w:r>
      <w:r w:rsidRPr="00CF6AAC">
        <w:rPr>
          <w:rFonts w:eastAsia="Arial Unicode MS"/>
        </w:rPr>
        <w:t xml:space="preserve"> </w:t>
      </w:r>
      <w:r w:rsidRPr="00CF6AAC">
        <w:rPr>
          <w:rFonts w:eastAsia="Arial Unicode MS"/>
          <w:color w:val="000000"/>
        </w:rPr>
        <w:t>thi trực tuyến tìm hiểu pháp luật.</w:t>
      </w:r>
    </w:p>
    <w:p w:rsidR="00244FF9" w:rsidRPr="00CF6AAC" w:rsidRDefault="00244FF9" w:rsidP="00597442">
      <w:pPr>
        <w:widowControl w:val="0"/>
        <w:spacing w:before="60" w:after="60" w:line="276" w:lineRule="auto"/>
        <w:ind w:left="220" w:firstLine="700"/>
        <w:jc w:val="both"/>
        <w:rPr>
          <w:rFonts w:eastAsia="Arial Unicode MS"/>
        </w:rPr>
      </w:pPr>
      <w:r w:rsidRPr="00CF6AAC">
        <w:rPr>
          <w:rFonts w:eastAsia="Arial Unicode MS"/>
          <w:color w:val="000000"/>
        </w:rPr>
        <w:t>1) Nội dung PBGDPL đối với từng nhóm đối tượng như sau:</w:t>
      </w:r>
    </w:p>
    <w:p w:rsidR="00244FF9" w:rsidRPr="00CF6AAC" w:rsidRDefault="00244FF9" w:rsidP="00597442">
      <w:pPr>
        <w:widowControl w:val="0"/>
        <w:tabs>
          <w:tab w:val="left" w:pos="1145"/>
        </w:tabs>
        <w:spacing w:before="60" w:after="60" w:line="276" w:lineRule="auto"/>
        <w:ind w:right="260"/>
        <w:jc w:val="both"/>
        <w:rPr>
          <w:rFonts w:eastAsia="Arial Unicode MS"/>
        </w:rPr>
      </w:pPr>
      <w:r w:rsidRPr="00CF6AAC">
        <w:rPr>
          <w:rFonts w:eastAsia="Arial Unicode MS"/>
          <w:color w:val="000000"/>
        </w:rPr>
        <w:t xml:space="preserve">          - Đối với cán bộ, công chức, viên chức, người lao động: Tập trung tuyên </w:t>
      </w:r>
      <w:r w:rsidRPr="00CF6AAC">
        <w:rPr>
          <w:rFonts w:eastAsia="Arial Unicode MS"/>
          <w:color w:val="000000"/>
        </w:rPr>
        <w:lastRenderedPageBreak/>
        <w:t>truyền, phổ biến các văn bản quy phạm pháp luật mới ban hành; các quy định của pháp luật có liên quan chuyên ngành, lĩnh vực công tác; nhiệm vụ xây dựng, bảo vệ Tổ quốc; các quy định của Chính phủ, Bộ Giáo dục và Đào tạo, Hội đồng nhân dân, ủy ban nhân dân tỉnh, HĐND, ƯBND thành phố liên quan đến hoạt động quản lý, giáo dục, đến đời sống của cán bộ, công chức, viên chức, người lao động;</w:t>
      </w:r>
    </w:p>
    <w:p w:rsidR="00244FF9" w:rsidRPr="00CF6AAC" w:rsidRDefault="00244FF9" w:rsidP="00597442">
      <w:pPr>
        <w:widowControl w:val="0"/>
        <w:tabs>
          <w:tab w:val="left" w:pos="1141"/>
        </w:tabs>
        <w:spacing w:before="60" w:after="60" w:line="276" w:lineRule="auto"/>
        <w:ind w:right="260"/>
        <w:jc w:val="both"/>
        <w:rPr>
          <w:rFonts w:eastAsia="Arial Unicode MS"/>
        </w:rPr>
      </w:pPr>
      <w:r w:rsidRPr="00CF6AAC">
        <w:rPr>
          <w:rFonts w:eastAsia="Arial Unicode MS"/>
          <w:color w:val="000000"/>
        </w:rPr>
        <w:t xml:space="preserve">         - Đối với học sinh: Xây dựng và triển khai nội dung giáo dục pháp luật phù họp với từng cấp học và trình độ đào tạo, phù họp với mục tiêu giáo dục, bảo đảm tính thống nhất, đồng bộ, phổ thông, cơ bản, thiết thực và có hệ thống, cụ thể:</w:t>
      </w:r>
    </w:p>
    <w:p w:rsidR="00244FF9" w:rsidRPr="00CF6AAC" w:rsidRDefault="00244FF9" w:rsidP="00597442">
      <w:pPr>
        <w:widowControl w:val="0"/>
        <w:tabs>
          <w:tab w:val="left" w:pos="1141"/>
        </w:tabs>
        <w:spacing w:before="60" w:after="60" w:line="276" w:lineRule="auto"/>
        <w:ind w:right="260"/>
        <w:jc w:val="both"/>
        <w:rPr>
          <w:rFonts w:eastAsia="Arial Unicode MS"/>
        </w:rPr>
      </w:pPr>
      <w:r w:rsidRPr="00CF6AAC">
        <w:rPr>
          <w:rFonts w:eastAsia="Arial Unicode MS"/>
        </w:rPr>
        <w:t xml:space="preserve">          </w:t>
      </w:r>
      <w:r w:rsidRPr="00CF6AAC">
        <w:rPr>
          <w:rFonts w:eastAsia="Arial Unicode MS"/>
          <w:color w:val="000000"/>
        </w:rPr>
        <w:t>+ Nội dung giáo dục pháp luật trong chương trình giáo dục tiểu học được thực hiện thông qua các hoạt động giáo dục chính khóa và ngoại khóa phù họp với lứa tuổi nhằm hình thành một số thói quen thực hiện những hành vi tốt, chuấn bị tâm thế cho việc làm theo các chuẩn mực đạo đức xã hội, tuân theo pháp luật, về giáo dục chính khóa: Được thực hiện thông qua môn học đạo đức đê hình thành thói quen phù hợp với chuẩn mực đạo đức của xã hội, ý thức kỷ luật, tinh thần đoàn kết, tinh thần tự giác, tạo tiền đề hình thành ý thức pháp luật, về giáo dục ngoại khóa và các hoạt động ngoài giờ lên lớp: Tổ chức tốt các giờ sinh hoạt, chào cờ đầu tuần; các hoạt động ngoại khóa trong dịp kỷ niệm các ngày lễ, phát động các cuộc vận động lớn của ngành...</w:t>
      </w:r>
    </w:p>
    <w:p w:rsidR="00244FF9" w:rsidRPr="00CF6AAC" w:rsidRDefault="00244FF9" w:rsidP="00597442">
      <w:pPr>
        <w:widowControl w:val="0"/>
        <w:tabs>
          <w:tab w:val="left" w:pos="1141"/>
        </w:tabs>
        <w:spacing w:before="60" w:after="60" w:line="276" w:lineRule="auto"/>
        <w:ind w:right="260"/>
        <w:jc w:val="both"/>
        <w:rPr>
          <w:rFonts w:eastAsia="Arial Unicode MS"/>
        </w:rPr>
      </w:pPr>
      <w:r w:rsidRPr="00CF6AAC">
        <w:rPr>
          <w:rFonts w:eastAsia="Arial Unicode MS"/>
        </w:rPr>
        <w:t xml:space="preserve">           </w:t>
      </w:r>
      <w:r w:rsidRPr="00CF6AAC">
        <w:rPr>
          <w:rFonts w:eastAsia="Arial Unicode MS"/>
          <w:color w:val="000000"/>
        </w:rPr>
        <w:t>+ Đổi mới phương pháp dạy học và kiểm tra, đánh giá theo định hướng phát triển phẩm chất năng lực người học nhằm nâng cao chất lượng giảng dạy kiến thức pháp luật tại nhà trường. Lồng ghép các nội dung giáo dục pháp luật phù họp với thực tế địa phương và điều kiện nhà trường, phù hợp với nhận thức của học sinh. Coi trọng việc thực hành vận dụng, tổ chức hình thức dạy học linh hoạt theo hướng tích hợp.</w:t>
      </w:r>
    </w:p>
    <w:p w:rsidR="00597442" w:rsidRPr="00A5518C" w:rsidRDefault="00244FF9" w:rsidP="00597442">
      <w:pPr>
        <w:widowControl w:val="0"/>
        <w:tabs>
          <w:tab w:val="left" w:pos="1141"/>
        </w:tabs>
        <w:spacing w:before="60" w:after="60" w:line="276" w:lineRule="auto"/>
        <w:ind w:right="260"/>
        <w:jc w:val="both"/>
        <w:rPr>
          <w:rFonts w:eastAsia="Arial Unicode MS"/>
        </w:rPr>
      </w:pPr>
      <w:r w:rsidRPr="00A5518C">
        <w:rPr>
          <w:rFonts w:eastAsia="Arial Unicode MS"/>
        </w:rPr>
        <w:t xml:space="preserve">           Tiếp tục triển khai và tổng kết thực hiện Đề án “Nâng cao chất lượng công tác phổ biến, giáo dục pháp luật trong nhà trường” đến năm 2021 trên địa bàn tỉnh Quảng Ninh theo Kế hoạch số 118/KH-ƯBND ngày 16/8/2018 của UBND tỉnh Quảng Ninh trong năm 202</w:t>
      </w:r>
      <w:r w:rsidR="00A5518C" w:rsidRPr="00A5518C">
        <w:rPr>
          <w:rFonts w:eastAsia="Arial Unicode MS"/>
        </w:rPr>
        <w:t>2</w:t>
      </w:r>
      <w:r w:rsidRPr="00A5518C">
        <w:rPr>
          <w:rFonts w:eastAsia="Arial Unicode MS"/>
        </w:rPr>
        <w:t>.</w:t>
      </w:r>
    </w:p>
    <w:p w:rsidR="00CF6AAC" w:rsidRPr="00D266BC" w:rsidRDefault="00D266BC" w:rsidP="00D266BC">
      <w:pPr>
        <w:tabs>
          <w:tab w:val="left" w:pos="720"/>
        </w:tabs>
        <w:spacing w:before="60" w:after="60"/>
        <w:jc w:val="both"/>
        <w:outlineLvl w:val="0"/>
        <w:rPr>
          <w:b/>
          <w:lang w:val="en-US"/>
        </w:rPr>
      </w:pPr>
      <w:r>
        <w:rPr>
          <w:b/>
          <w:lang w:val="en-US"/>
        </w:rPr>
        <w:t>III.</w:t>
      </w:r>
      <w:r w:rsidR="00244FF9" w:rsidRPr="00D266BC">
        <w:rPr>
          <w:b/>
        </w:rPr>
        <w:t>Thời gian triển khai</w:t>
      </w:r>
    </w:p>
    <w:tbl>
      <w:tblPr>
        <w:tblW w:w="9224" w:type="dxa"/>
        <w:tblLayout w:type="fixed"/>
        <w:tblCellMar>
          <w:left w:w="0" w:type="dxa"/>
          <w:right w:w="0" w:type="dxa"/>
        </w:tblCellMar>
        <w:tblLook w:val="04A0" w:firstRow="1" w:lastRow="0" w:firstColumn="1" w:lastColumn="0" w:noHBand="0" w:noVBand="1"/>
      </w:tblPr>
      <w:tblGrid>
        <w:gridCol w:w="1428"/>
        <w:gridCol w:w="7796"/>
      </w:tblGrid>
      <w:tr w:rsidR="00CF6AAC" w:rsidRPr="00CF6AAC" w:rsidTr="0088002F">
        <w:trPr>
          <w:trHeight w:val="352"/>
        </w:trPr>
        <w:tc>
          <w:tcPr>
            <w:tcW w:w="1428" w:type="dxa"/>
            <w:tcBorders>
              <w:top w:val="single" w:sz="8" w:space="0" w:color="000000"/>
              <w:left w:val="single" w:sz="8" w:space="0" w:color="000000"/>
              <w:bottom w:val="single" w:sz="8" w:space="0" w:color="000000"/>
              <w:right w:val="single" w:sz="8" w:space="0" w:color="000000"/>
            </w:tcBorders>
            <w:shd w:val="clear" w:color="auto" w:fill="auto"/>
            <w:hideMark/>
          </w:tcPr>
          <w:p w:rsidR="00CF6AAC" w:rsidRPr="00CF6AAC" w:rsidRDefault="00CF6AAC" w:rsidP="0088002F">
            <w:pPr>
              <w:spacing w:after="150" w:line="276" w:lineRule="auto"/>
              <w:jc w:val="center"/>
              <w:rPr>
                <w:rFonts w:asciiTheme="majorHAnsi" w:hAnsiTheme="majorHAnsi" w:cstheme="majorHAnsi"/>
              </w:rPr>
            </w:pPr>
            <w:r w:rsidRPr="00CF6AAC">
              <w:rPr>
                <w:rFonts w:asciiTheme="majorHAnsi" w:hAnsiTheme="majorHAnsi" w:cstheme="majorHAnsi"/>
                <w:b/>
                <w:bCs/>
              </w:rPr>
              <w:t>Thời gian</w:t>
            </w:r>
          </w:p>
        </w:tc>
        <w:tc>
          <w:tcPr>
            <w:tcW w:w="7796" w:type="dxa"/>
            <w:tcBorders>
              <w:top w:val="single" w:sz="8" w:space="0" w:color="000000"/>
              <w:left w:val="nil"/>
              <w:bottom w:val="single" w:sz="8" w:space="0" w:color="000000"/>
              <w:right w:val="single" w:sz="8" w:space="0" w:color="000000"/>
            </w:tcBorders>
            <w:shd w:val="clear" w:color="auto" w:fill="auto"/>
            <w:hideMark/>
          </w:tcPr>
          <w:p w:rsidR="00CF6AAC" w:rsidRPr="00CF6AAC" w:rsidRDefault="00CF6AAC" w:rsidP="0088002F">
            <w:pPr>
              <w:spacing w:after="150" w:line="276" w:lineRule="auto"/>
              <w:jc w:val="center"/>
              <w:rPr>
                <w:rFonts w:asciiTheme="majorHAnsi" w:hAnsiTheme="majorHAnsi" w:cstheme="majorHAnsi"/>
              </w:rPr>
            </w:pPr>
            <w:r w:rsidRPr="00CF6AAC">
              <w:rPr>
                <w:rFonts w:asciiTheme="majorHAnsi" w:hAnsiTheme="majorHAnsi" w:cstheme="majorHAnsi"/>
                <w:b/>
                <w:bCs/>
              </w:rPr>
              <w:t>Nội dung tuyên truyền</w:t>
            </w:r>
          </w:p>
        </w:tc>
      </w:tr>
      <w:tr w:rsidR="00CF6AAC" w:rsidRPr="00CF6AAC" w:rsidTr="0088002F">
        <w:trPr>
          <w:trHeight w:val="1770"/>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01</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Hiến pháp 2013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Giáo dục số 43/2019/QH14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An ninh mạng số 24/2018/QH14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2126"/>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02</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Tổ chức Chính phủ và Luật Tổ chức chính quyền địa phương số 47/2019/QH14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Quốc phòng số 22/2018/QH14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trách nhiệm bồi thường của nhà nước số 10/2017/QH14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417"/>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3</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Phòng, chống tác hại của rượu, bia số 44/2019/QH14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An toàn, vệ sinh lao động số 84/2015/QH13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4</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spacing w:after="150" w:line="276" w:lineRule="auto"/>
              <w:ind w:right="283"/>
              <w:jc w:val="both"/>
              <w:rPr>
                <w:rFonts w:asciiTheme="majorHAnsi" w:hAnsiTheme="majorHAnsi" w:cstheme="majorHAnsi"/>
              </w:rPr>
            </w:pPr>
            <w:r w:rsidRPr="00CF6AAC">
              <w:rPr>
                <w:rFonts w:asciiTheme="majorHAnsi" w:hAnsiTheme="majorHAnsi" w:cstheme="majorHAnsi"/>
              </w:rPr>
              <w:t xml:space="preserve">         -  Luật Thư viện số 46/2019/QH14</w:t>
            </w:r>
          </w:p>
          <w:p w:rsidR="00CF6AAC" w:rsidRPr="00CF6AAC" w:rsidRDefault="00CF6AAC" w:rsidP="0088002F">
            <w:pPr>
              <w:spacing w:after="150" w:line="276" w:lineRule="auto"/>
              <w:ind w:right="283"/>
              <w:jc w:val="both"/>
              <w:rPr>
                <w:rFonts w:asciiTheme="majorHAnsi" w:hAnsiTheme="majorHAnsi" w:cstheme="majorHAnsi"/>
              </w:rPr>
            </w:pPr>
            <w:r w:rsidRPr="00CF6AAC">
              <w:rPr>
                <w:rFonts w:asciiTheme="majorHAnsi" w:hAnsiTheme="majorHAnsi" w:cstheme="majorHAnsi"/>
                <w:iCs/>
              </w:rPr>
              <w:t xml:space="preserve">         - </w:t>
            </w:r>
            <w:r w:rsidRPr="00CF6AAC">
              <w:rPr>
                <w:rFonts w:asciiTheme="majorHAnsi" w:hAnsiTheme="majorHAnsi" w:cstheme="majorHAnsi"/>
              </w:rPr>
              <w:t>Luật sửa đổi, bổ sung một số điều của Luật Giáo dục đại học số 34/2018/QH14</w:t>
            </w:r>
          </w:p>
          <w:p w:rsidR="00CF6AAC" w:rsidRPr="00CF6AAC" w:rsidRDefault="00CF6AAC" w:rsidP="0088002F">
            <w:pPr>
              <w:spacing w:before="100" w:beforeAutospacing="1" w:after="100" w:afterAutospacing="1" w:line="276" w:lineRule="auto"/>
              <w:ind w:left="720" w:right="283"/>
              <w:jc w:val="both"/>
              <w:rPr>
                <w:rFonts w:asciiTheme="majorHAnsi" w:hAnsiTheme="majorHAnsi" w:cstheme="majorHAnsi"/>
              </w:rPr>
            </w:pPr>
            <w:r w:rsidRPr="00CF6AAC">
              <w:rPr>
                <w:rFonts w:asciiTheme="majorHAnsi" w:hAnsiTheme="majorHAnsi" w:cstheme="majorHAnsi"/>
              </w:rPr>
              <w:t>- Các luật, văn bản quy phạm pháp luật về giáo dục, Điều lệ nhà trường, quy định về tuyển sinh các lớp đầu cấp, liên quan thi cử</w:t>
            </w:r>
          </w:p>
          <w:p w:rsidR="00CF6AAC" w:rsidRPr="00CF6AAC" w:rsidRDefault="00CF6AAC" w:rsidP="0088002F">
            <w:pPr>
              <w:spacing w:before="100" w:beforeAutospacing="1" w:after="100" w:afterAutospacing="1" w:line="276" w:lineRule="auto"/>
              <w:ind w:left="720" w:right="283"/>
              <w:jc w:val="both"/>
              <w:rPr>
                <w:rFonts w:asciiTheme="majorHAnsi" w:hAnsiTheme="majorHAnsi" w:cstheme="majorHAnsi"/>
              </w:rPr>
            </w:pPr>
            <w:r w:rsidRPr="00CF6AAC">
              <w:rPr>
                <w:rFonts w:asciiTheme="majorHAnsi" w:hAnsiTheme="majorHAnsi" w:cstheme="majorHAnsi"/>
              </w:rPr>
              <w:t>- Tổ chức thực hiện “Ngày pháp luật” theo quy định</w:t>
            </w:r>
          </w:p>
        </w:tc>
      </w:tr>
      <w:tr w:rsidR="00CF6AAC" w:rsidRPr="00CF6AAC" w:rsidTr="00597442">
        <w:trPr>
          <w:trHeight w:val="547"/>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5</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Xuất cảnh, nhập cảnh của công dân Việt Nam số 49/2019/QH14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Bộ luật Dân sự số 91/2015/QH13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Bộ Luật hình sự số 100/2015/QH13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 công tác thi, tuyển sinh</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2124"/>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6</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Thi hành án hình sự số 41/2019/QH14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Trẻ em số 102/2016/QH13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Hôn nhân và gia đình số 52/2014/QH13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Bảo vệ môi trường số 55/2014/QH13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7</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Đầu tư công số 39/2019/QH14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bảo hiểm y tế số 46/2014/QH13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Bảo hiểm xã hội số 58/2014/QH13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8</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cán bộ, công chức và Luật viên số 52/2019/QH14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 Điều lệ nhà trường, Điều lệ Ban đại diện cha </w:t>
            </w:r>
            <w:r w:rsidRPr="00CF6AAC">
              <w:rPr>
                <w:rFonts w:asciiTheme="majorHAnsi" w:hAnsiTheme="majorHAnsi" w:cstheme="majorHAnsi"/>
                <w:spacing w:val="-3"/>
              </w:rPr>
              <w:t>mẹ </w:t>
            </w:r>
            <w:r w:rsidRPr="00CF6AAC">
              <w:rPr>
                <w:rFonts w:asciiTheme="majorHAnsi" w:hAnsiTheme="majorHAnsi" w:cstheme="majorHAnsi"/>
              </w:rPr>
              <w:t>học sinh, quy định về đạo đức nhà giáo, dạy thêm, học thêm</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9</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kiểm tra nhà nước số 55/2019/QH1</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Giao thông đường bộ số 23/2008/QH12</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Việc làm số 38/2013/QH13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quản lý, sử dụng tài sản công số 15/2017/QH14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thi đua, khen thưởng số 39/2013/QH13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597442">
        <w:trPr>
          <w:trHeight w:val="547"/>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10</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Bộ Luật Lao động số 45/2019/QH1</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sửa đổi, bổ sung một số điều của Luật phòng cháy và chữa cháy số 40/2013/QH13.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Phòng, chống tác hại của thuốc lá số 09/2012/QH13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Biển Việt Nam số 18/2012/QH13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11</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Lực lượng dự bị động viên số 53/2019/QH14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Khiếu nại 2011</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Tố cáo số 25/2018/QH14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Tiếp công dân số 42/2013/QH13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Phòng, chống tham nhũng số số 36/2018/QH14</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Luật Thực hành tiết kiệm, chống lãng phí số 44/2013/QH13</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lastRenderedPageBreak/>
              <w:t>Các luật, văn bản quy phạm pháp luật về giáo dục, quy định về đạo đức nhà giáo</w:t>
            </w:r>
          </w:p>
          <w:p w:rsidR="00CF6AAC" w:rsidRPr="00CF6AAC" w:rsidRDefault="00CF6AAC" w:rsidP="0088002F">
            <w:pPr>
              <w:pStyle w:val="ListParagraph"/>
              <w:numPr>
                <w:ilvl w:val="0"/>
                <w:numId w:val="15"/>
              </w:numPr>
              <w:spacing w:before="100" w:beforeAutospacing="1" w:after="100" w:afterAutospacing="1" w:line="276" w:lineRule="auto"/>
              <w:ind w:right="283"/>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r w:rsidR="00CF6AAC" w:rsidRPr="00CF6AAC" w:rsidTr="0088002F">
        <w:trPr>
          <w:trHeight w:val="1771"/>
        </w:trPr>
        <w:tc>
          <w:tcPr>
            <w:tcW w:w="1428" w:type="dxa"/>
            <w:tcBorders>
              <w:top w:val="nil"/>
              <w:left w:val="single" w:sz="8" w:space="0" w:color="000000"/>
              <w:bottom w:val="single" w:sz="8" w:space="0" w:color="000000"/>
              <w:right w:val="single" w:sz="8" w:space="0" w:color="000000"/>
            </w:tcBorders>
            <w:shd w:val="clear" w:color="auto" w:fill="auto"/>
            <w:hideMark/>
          </w:tcPr>
          <w:p w:rsidR="00CF6AAC" w:rsidRPr="00CF6AAC" w:rsidRDefault="00CF6AAC" w:rsidP="0088002F">
            <w:pPr>
              <w:spacing w:after="150" w:line="276" w:lineRule="auto"/>
              <w:jc w:val="both"/>
              <w:rPr>
                <w:rFonts w:asciiTheme="majorHAnsi" w:hAnsiTheme="majorHAnsi" w:cstheme="majorHAnsi"/>
              </w:rPr>
            </w:pPr>
            <w:r w:rsidRPr="00CF6AAC">
              <w:rPr>
                <w:rFonts w:asciiTheme="majorHAnsi" w:hAnsiTheme="majorHAnsi" w:cstheme="majorHAnsi"/>
              </w:rPr>
              <w:lastRenderedPageBreak/>
              <w:t> </w:t>
            </w:r>
          </w:p>
          <w:p w:rsidR="00CF6AAC" w:rsidRPr="00CF6AAC" w:rsidRDefault="00CF6AAC" w:rsidP="0088002F">
            <w:pPr>
              <w:spacing w:after="150" w:line="276" w:lineRule="auto"/>
              <w:jc w:val="both"/>
              <w:rPr>
                <w:rFonts w:asciiTheme="majorHAnsi" w:hAnsiTheme="majorHAnsi" w:cstheme="majorHAnsi"/>
              </w:rPr>
            </w:pPr>
            <w:r w:rsidRPr="00CF6AAC">
              <w:rPr>
                <w:rFonts w:asciiTheme="majorHAnsi" w:hAnsiTheme="majorHAnsi" w:cstheme="majorHAnsi"/>
              </w:rPr>
              <w:t> </w:t>
            </w:r>
          </w:p>
          <w:p w:rsidR="00CF6AAC" w:rsidRPr="00CF6AAC" w:rsidRDefault="00CF6AAC" w:rsidP="00CF6AAC">
            <w:pPr>
              <w:spacing w:after="150" w:line="276" w:lineRule="auto"/>
              <w:jc w:val="center"/>
              <w:rPr>
                <w:rFonts w:asciiTheme="majorHAnsi" w:hAnsiTheme="majorHAnsi" w:cstheme="majorHAnsi"/>
              </w:rPr>
            </w:pPr>
            <w:r w:rsidRPr="00CF6AAC">
              <w:rPr>
                <w:rFonts w:asciiTheme="majorHAnsi" w:hAnsiTheme="majorHAnsi" w:cstheme="majorHAnsi"/>
              </w:rPr>
              <w:t>Tháng 12</w:t>
            </w:r>
          </w:p>
        </w:tc>
        <w:tc>
          <w:tcPr>
            <w:tcW w:w="7796" w:type="dxa"/>
            <w:tcBorders>
              <w:top w:val="nil"/>
              <w:left w:val="nil"/>
              <w:bottom w:val="single" w:sz="8" w:space="0" w:color="000000"/>
              <w:right w:val="single" w:sz="8" w:space="0" w:color="000000"/>
            </w:tcBorders>
            <w:shd w:val="clear" w:color="auto" w:fill="auto"/>
            <w:hideMark/>
          </w:tcPr>
          <w:p w:rsidR="00CF6AAC" w:rsidRPr="00CF6AAC" w:rsidRDefault="00CF6AAC" w:rsidP="0088002F">
            <w:pPr>
              <w:pStyle w:val="ListParagraph"/>
              <w:numPr>
                <w:ilvl w:val="0"/>
                <w:numId w:val="15"/>
              </w:numPr>
              <w:spacing w:before="100" w:beforeAutospacing="1" w:after="100" w:afterAutospacing="1" w:line="276" w:lineRule="auto"/>
              <w:jc w:val="both"/>
              <w:rPr>
                <w:rFonts w:asciiTheme="majorHAnsi" w:hAnsiTheme="majorHAnsi" w:cstheme="majorHAnsi"/>
              </w:rPr>
            </w:pPr>
            <w:r w:rsidRPr="00CF6AAC">
              <w:rPr>
                <w:rFonts w:asciiTheme="majorHAnsi" w:hAnsiTheme="majorHAnsi" w:cstheme="majorHAnsi"/>
              </w:rPr>
              <w:t>Luật Dân quân tự vệ số 48/2019/QH14</w:t>
            </w:r>
          </w:p>
          <w:p w:rsidR="00CF6AAC" w:rsidRPr="00CF6AAC" w:rsidRDefault="00CF6AAC" w:rsidP="0088002F">
            <w:pPr>
              <w:pStyle w:val="ListParagraph"/>
              <w:numPr>
                <w:ilvl w:val="0"/>
                <w:numId w:val="15"/>
              </w:numPr>
              <w:spacing w:before="100" w:beforeAutospacing="1" w:after="100" w:afterAutospacing="1" w:line="276" w:lineRule="auto"/>
              <w:jc w:val="both"/>
              <w:rPr>
                <w:rFonts w:asciiTheme="majorHAnsi" w:hAnsiTheme="majorHAnsi" w:cstheme="majorHAnsi"/>
              </w:rPr>
            </w:pPr>
            <w:r w:rsidRPr="00CF6AAC">
              <w:rPr>
                <w:rFonts w:asciiTheme="majorHAnsi" w:hAnsiTheme="majorHAnsi" w:cstheme="majorHAnsi"/>
              </w:rPr>
              <w:t>Luật Căn cước công dân số 59/2014/QH13</w:t>
            </w:r>
          </w:p>
          <w:p w:rsidR="00CF6AAC" w:rsidRPr="00CF6AAC" w:rsidRDefault="00CF6AAC" w:rsidP="0088002F">
            <w:pPr>
              <w:pStyle w:val="ListParagraph"/>
              <w:numPr>
                <w:ilvl w:val="0"/>
                <w:numId w:val="15"/>
              </w:numPr>
              <w:spacing w:before="100" w:beforeAutospacing="1" w:after="100" w:afterAutospacing="1" w:line="276" w:lineRule="auto"/>
              <w:jc w:val="both"/>
              <w:rPr>
                <w:rFonts w:asciiTheme="majorHAnsi" w:hAnsiTheme="majorHAnsi" w:cstheme="majorHAnsi"/>
              </w:rPr>
            </w:pPr>
            <w:r w:rsidRPr="00CF6AAC">
              <w:rPr>
                <w:rFonts w:asciiTheme="majorHAnsi" w:hAnsiTheme="majorHAnsi" w:cstheme="majorHAnsi"/>
              </w:rPr>
              <w:t>Luật Nghĩa vụ quân sự số 78/2015/QH13</w:t>
            </w:r>
          </w:p>
          <w:p w:rsidR="00CF6AAC" w:rsidRPr="00CF6AAC" w:rsidRDefault="00CF6AAC" w:rsidP="0088002F">
            <w:pPr>
              <w:pStyle w:val="ListParagraph"/>
              <w:numPr>
                <w:ilvl w:val="0"/>
                <w:numId w:val="15"/>
              </w:numPr>
              <w:spacing w:before="100" w:beforeAutospacing="1" w:after="100" w:afterAutospacing="1" w:line="276" w:lineRule="auto"/>
              <w:jc w:val="both"/>
              <w:rPr>
                <w:rFonts w:asciiTheme="majorHAnsi" w:hAnsiTheme="majorHAnsi" w:cstheme="majorHAnsi"/>
              </w:rPr>
            </w:pPr>
            <w:r w:rsidRPr="00CF6AAC">
              <w:rPr>
                <w:rFonts w:asciiTheme="majorHAnsi" w:hAnsiTheme="majorHAnsi" w:cstheme="majorHAnsi"/>
              </w:rPr>
              <w:t>Các luật, văn bản quy phạm pháp luật về giáo dục</w:t>
            </w:r>
          </w:p>
          <w:p w:rsidR="00CF6AAC" w:rsidRPr="00CF6AAC" w:rsidRDefault="00CF6AAC" w:rsidP="0088002F">
            <w:pPr>
              <w:pStyle w:val="ListParagraph"/>
              <w:numPr>
                <w:ilvl w:val="0"/>
                <w:numId w:val="15"/>
              </w:numPr>
              <w:spacing w:before="100" w:beforeAutospacing="1" w:after="100" w:afterAutospacing="1" w:line="276" w:lineRule="auto"/>
              <w:jc w:val="both"/>
              <w:rPr>
                <w:rFonts w:asciiTheme="majorHAnsi" w:hAnsiTheme="majorHAnsi" w:cstheme="majorHAnsi"/>
              </w:rPr>
            </w:pPr>
            <w:r w:rsidRPr="00CF6AAC">
              <w:rPr>
                <w:rFonts w:asciiTheme="majorHAnsi" w:hAnsiTheme="majorHAnsi" w:cstheme="majorHAnsi"/>
              </w:rPr>
              <w:t>Tổ chức thực hiện “Ngày pháp luật” theo quy định</w:t>
            </w:r>
          </w:p>
        </w:tc>
      </w:tr>
    </w:tbl>
    <w:p w:rsidR="00CF6AAC" w:rsidRPr="00CF6AAC" w:rsidRDefault="00CF6AAC" w:rsidP="00CF6AAC">
      <w:pPr>
        <w:tabs>
          <w:tab w:val="left" w:pos="720"/>
        </w:tabs>
        <w:spacing w:before="60" w:after="60"/>
        <w:ind w:left="360"/>
        <w:jc w:val="both"/>
        <w:outlineLvl w:val="0"/>
        <w:rPr>
          <w:b/>
        </w:rPr>
      </w:pPr>
    </w:p>
    <w:p w:rsidR="00244FF9" w:rsidRPr="005C4A8B" w:rsidRDefault="00244FF9" w:rsidP="00244FF9">
      <w:pPr>
        <w:tabs>
          <w:tab w:val="left" w:pos="720"/>
        </w:tabs>
        <w:spacing w:before="60" w:after="60"/>
        <w:jc w:val="both"/>
        <w:outlineLvl w:val="0"/>
      </w:pPr>
      <w:r w:rsidRPr="00CF6AAC">
        <w:t xml:space="preserve">       Các hoạt động trên được tổ chức thường xuyên trong năm và theo hướng dẫn của cơ quan cấp trên ( nếu có).</w:t>
      </w:r>
    </w:p>
    <w:p w:rsidR="00CF6AAC" w:rsidRPr="00CF6AAC" w:rsidRDefault="00CF6AAC" w:rsidP="00CF6AAC">
      <w:pPr>
        <w:shd w:val="clear" w:color="auto" w:fill="FFFFFF"/>
        <w:spacing w:after="150" w:line="276" w:lineRule="auto"/>
        <w:jc w:val="both"/>
        <w:rPr>
          <w:rFonts w:asciiTheme="majorHAnsi" w:hAnsiTheme="majorHAnsi" w:cstheme="majorHAnsi"/>
        </w:rPr>
      </w:pPr>
      <w:r w:rsidRPr="00CF6AAC">
        <w:rPr>
          <w:rFonts w:asciiTheme="majorHAnsi" w:hAnsiTheme="majorHAnsi" w:cstheme="majorHAnsi"/>
          <w:b/>
          <w:bCs/>
        </w:rPr>
        <w:t xml:space="preserve">IV. </w:t>
      </w:r>
      <w:r w:rsidRPr="005C4A8B">
        <w:rPr>
          <w:rFonts w:asciiTheme="majorHAnsi" w:hAnsiTheme="majorHAnsi" w:cstheme="majorHAnsi"/>
          <w:b/>
          <w:bCs/>
        </w:rPr>
        <w:t>Các biện pháp thực hiện.</w:t>
      </w:r>
      <w:r w:rsidRPr="00CF6AAC">
        <w:rPr>
          <w:rFonts w:asciiTheme="majorHAnsi" w:hAnsiTheme="majorHAnsi" w:cstheme="majorHAnsi"/>
          <w:b/>
          <w:bCs/>
        </w:rPr>
        <w:t> </w:t>
      </w:r>
    </w:p>
    <w:p w:rsidR="00CF6AAC" w:rsidRPr="00CF6AAC" w:rsidRDefault="00CF6AAC" w:rsidP="00CF6AAC">
      <w:pPr>
        <w:shd w:val="clear" w:color="auto" w:fill="FFFFFF"/>
        <w:spacing w:after="150" w:line="276" w:lineRule="auto"/>
        <w:ind w:firstLine="720"/>
        <w:jc w:val="both"/>
        <w:rPr>
          <w:rFonts w:asciiTheme="majorHAnsi" w:hAnsiTheme="majorHAnsi" w:cstheme="majorHAnsi"/>
        </w:rPr>
      </w:pPr>
      <w:r w:rsidRPr="00CF6AAC">
        <w:rPr>
          <w:rFonts w:asciiTheme="majorHAnsi" w:hAnsiTheme="majorHAnsi" w:cstheme="majorHAnsi"/>
        </w:rPr>
        <w:t>- Lồng ghép chương trình, tích hợp nội dung, kết hợp giảng dạy pháp luật vào các tiết dạy với thời lượng phù hợp; sử dụng phương pháp giảng dạy linh hoạt, hiệu quả cho học sinh thông qua bài giảng một cách hợp lý. </w:t>
      </w:r>
    </w:p>
    <w:p w:rsidR="00CF6AAC" w:rsidRPr="00CF6AAC" w:rsidRDefault="00CF6AAC" w:rsidP="00CF6AAC">
      <w:pPr>
        <w:shd w:val="clear" w:color="auto" w:fill="FFFFFF"/>
        <w:spacing w:after="150" w:line="276" w:lineRule="auto"/>
        <w:ind w:firstLine="720"/>
        <w:jc w:val="both"/>
        <w:rPr>
          <w:rFonts w:asciiTheme="majorHAnsi" w:hAnsiTheme="majorHAnsi" w:cstheme="majorHAnsi"/>
        </w:rPr>
      </w:pPr>
      <w:r w:rsidRPr="00CF6AAC">
        <w:rPr>
          <w:rFonts w:asciiTheme="majorHAnsi" w:hAnsiTheme="majorHAnsi" w:cstheme="majorHAnsi"/>
        </w:rPr>
        <w:t> - Tuyên truyền, giáo dục pháp luật vào các hoạt động ngoại khóa phù hợp với đặc thù của từng khối lớp học với một số hình thức như: báo cáo chuyên đề, tổ chức thi tìm hiểu pháp luật, lồng ghép nội dung trong các hoạt động văn hóa, văn nghệ, sinh hoạt chính trị đầu năm, xây dựng chuyên mục giáo dục pháp luật trên trang thông tin điện tử của trường. </w:t>
      </w:r>
    </w:p>
    <w:p w:rsidR="00CF6AAC" w:rsidRPr="00CF6AAC" w:rsidRDefault="00CF6AAC" w:rsidP="00CF6AAC">
      <w:pPr>
        <w:shd w:val="clear" w:color="auto" w:fill="FFFFFF"/>
        <w:spacing w:after="150" w:line="276" w:lineRule="auto"/>
        <w:ind w:firstLine="720"/>
        <w:jc w:val="both"/>
        <w:rPr>
          <w:rFonts w:asciiTheme="majorHAnsi" w:hAnsiTheme="majorHAnsi" w:cstheme="majorHAnsi"/>
        </w:rPr>
      </w:pPr>
      <w:r w:rsidRPr="00CF6AAC">
        <w:rPr>
          <w:rFonts w:asciiTheme="majorHAnsi" w:hAnsiTheme="majorHAnsi" w:cstheme="majorHAnsi"/>
        </w:rPr>
        <w:t>- Đổi mới phương pháp giảng dạy pháp luật chính khóa, hoạt động ngoại khóa, xây dựng bài giảng điện tử. Tư vấn, hướng dẫn, triển khai các nhiệm vụ PBGDPL trong nhà trường trọng tâm là đổi mới phương pháp dạy học và kiểm tra, đánh giá nội dun</w:t>
      </w:r>
      <w:r w:rsidRPr="00CF6AAC">
        <w:rPr>
          <w:rFonts w:asciiTheme="majorHAnsi" w:hAnsiTheme="majorHAnsi" w:cstheme="majorHAnsi"/>
          <w:u w:val="single"/>
        </w:rPr>
        <w:t>g g</w:t>
      </w:r>
      <w:r w:rsidRPr="00CF6AAC">
        <w:rPr>
          <w:rFonts w:asciiTheme="majorHAnsi" w:hAnsiTheme="majorHAnsi" w:cstheme="majorHAnsi"/>
        </w:rPr>
        <w:t>iáo dục pháp luật theo định hướng phát triển năng lực người học. </w:t>
      </w:r>
    </w:p>
    <w:p w:rsidR="00244FF9" w:rsidRPr="00CF6AAC" w:rsidRDefault="00244FF9" w:rsidP="00244FF9">
      <w:pPr>
        <w:tabs>
          <w:tab w:val="left" w:pos="720"/>
        </w:tabs>
        <w:spacing w:before="60" w:after="60"/>
        <w:jc w:val="both"/>
        <w:outlineLvl w:val="0"/>
        <w:rPr>
          <w:b/>
        </w:rPr>
      </w:pPr>
      <w:r w:rsidRPr="00CF6AAC">
        <w:rPr>
          <w:b/>
        </w:rPr>
        <w:t>V. Tổ chức thực hiện</w:t>
      </w:r>
      <w:r w:rsidR="00CF6AAC" w:rsidRPr="00CF6AAC">
        <w:rPr>
          <w:b/>
        </w:rPr>
        <w:t>.</w:t>
      </w:r>
    </w:p>
    <w:p w:rsidR="00244FF9" w:rsidRPr="00D266BC" w:rsidRDefault="00D266BC" w:rsidP="00244FF9">
      <w:pPr>
        <w:tabs>
          <w:tab w:val="left" w:pos="720"/>
        </w:tabs>
        <w:spacing w:before="60" w:after="60"/>
        <w:jc w:val="both"/>
        <w:outlineLvl w:val="0"/>
        <w:rPr>
          <w:b/>
          <w:lang w:val="en-US"/>
        </w:rPr>
      </w:pPr>
      <w:r>
        <w:rPr>
          <w:b/>
        </w:rPr>
        <w:t>1. Ban giám hiệu</w:t>
      </w:r>
    </w:p>
    <w:p w:rsidR="00CF6AAC" w:rsidRPr="00CF6AAC" w:rsidRDefault="00244FF9" w:rsidP="00244FF9">
      <w:pPr>
        <w:tabs>
          <w:tab w:val="left" w:pos="720"/>
        </w:tabs>
        <w:spacing w:before="60" w:after="60"/>
        <w:jc w:val="both"/>
        <w:outlineLvl w:val="0"/>
      </w:pPr>
      <w:r w:rsidRPr="00CF6AAC">
        <w:tab/>
        <w:t xml:space="preserve"> Xây dựng kế hoạch thực hiện; chỉ đạo, đôn đốc và theo dõi việc thực hiện kế hoạch tại nhà  trường; kiểm tra và đánh giá kết quả thực hiện; báo cáo kết quả công tác phổ biến, giáo dục pháp luật với Phòng Giáo dục và Đào tạo theo quy định. </w:t>
      </w:r>
    </w:p>
    <w:p w:rsidR="00CF6AAC" w:rsidRPr="00CF6AAC" w:rsidRDefault="00CF6AAC" w:rsidP="00244FF9">
      <w:pPr>
        <w:tabs>
          <w:tab w:val="left" w:pos="720"/>
        </w:tabs>
        <w:spacing w:before="60" w:after="60"/>
        <w:jc w:val="both"/>
        <w:outlineLvl w:val="0"/>
      </w:pPr>
      <w:r w:rsidRPr="005C4A8B">
        <w:tab/>
      </w:r>
      <w:r w:rsidR="00244FF9" w:rsidRPr="00CF6AAC">
        <w:t xml:space="preserve">Hàng tháng đều có đánh giá kết quả triển khai kế hoạch tại đơn vị và kịp thời khắc phục các tồn tại trong quá trình thực hiện. Thực hiện báo cáo về Phòng GD&amp;ĐT định kỳ 6 tháng ( trước ngày 05/5) và hàng năm (trước ngày 05/11) báo cáo về Phòng Giáo dục và Đào tạo </w:t>
      </w:r>
      <w:r w:rsidR="00244FF9" w:rsidRPr="00CF6AAC">
        <w:rPr>
          <w:rFonts w:eastAsia="Arial Unicode MS"/>
          <w:color w:val="000000"/>
        </w:rPr>
        <w:t>để tổng hợp báo cáo.</w:t>
      </w:r>
    </w:p>
    <w:p w:rsidR="00244FF9" w:rsidRPr="00D266BC" w:rsidRDefault="00244FF9" w:rsidP="00244FF9">
      <w:pPr>
        <w:tabs>
          <w:tab w:val="left" w:pos="720"/>
        </w:tabs>
        <w:spacing w:before="60" w:after="60"/>
        <w:jc w:val="both"/>
        <w:outlineLvl w:val="0"/>
      </w:pPr>
      <w:r w:rsidRPr="00A5518C">
        <w:rPr>
          <w:b/>
        </w:rPr>
        <w:lastRenderedPageBreak/>
        <w:t>2. Đối với các cá nhân và đoàn thể trong nhà trường</w:t>
      </w:r>
    </w:p>
    <w:p w:rsidR="00244FF9" w:rsidRPr="00CF6AAC" w:rsidRDefault="00244FF9" w:rsidP="00244FF9">
      <w:pPr>
        <w:tabs>
          <w:tab w:val="left" w:pos="720"/>
        </w:tabs>
        <w:spacing w:before="60" w:after="60"/>
        <w:jc w:val="both"/>
        <w:outlineLvl w:val="0"/>
      </w:pPr>
      <w:r w:rsidRPr="00CF6AAC">
        <w:tab/>
        <w:t>Căn cứ vào kế hoạch nhà trường cần xác định cụ thể các hoạt động triển khai trong năm, thời gian thực hiện, trác</w:t>
      </w:r>
      <w:bookmarkStart w:id="0" w:name="_GoBack"/>
      <w:bookmarkEnd w:id="0"/>
      <w:r w:rsidRPr="00CF6AAC">
        <w:t xml:space="preserve">h nhiệm thực hiện và kết quả cần đạt được. </w:t>
      </w:r>
    </w:p>
    <w:p w:rsidR="00244FF9" w:rsidRPr="00CF6AAC" w:rsidRDefault="00244FF9" w:rsidP="00244FF9">
      <w:pPr>
        <w:spacing w:before="60" w:after="60"/>
      </w:pPr>
      <w:r w:rsidRPr="00CF6AAC">
        <w:t xml:space="preserve">            Trên đây là kế hoạch công tác phổ biến giáo dục pháp luật năm 202</w:t>
      </w:r>
      <w:r w:rsidR="00725381" w:rsidRPr="00725381">
        <w:t>2</w:t>
      </w:r>
      <w:r w:rsidRPr="00CF6AAC">
        <w:t xml:space="preserve"> của trường tiểu học Phương Nam </w:t>
      </w:r>
      <w:r w:rsidR="00CF6AAC" w:rsidRPr="00CF6AAC">
        <w:t>B</w:t>
      </w:r>
      <w:r w:rsidRPr="00CF6AAC">
        <w:t xml:space="preserve">. Đề nghị các bộ phận nghiêm túc thực hiện./. </w:t>
      </w:r>
    </w:p>
    <w:tbl>
      <w:tblPr>
        <w:tblW w:w="9287" w:type="dxa"/>
        <w:jc w:val="center"/>
        <w:tblInd w:w="784" w:type="dxa"/>
        <w:shd w:val="clear" w:color="auto" w:fill="FFFFFF"/>
        <w:tblCellMar>
          <w:top w:w="15" w:type="dxa"/>
          <w:left w:w="15" w:type="dxa"/>
          <w:bottom w:w="15" w:type="dxa"/>
          <w:right w:w="15" w:type="dxa"/>
        </w:tblCellMar>
        <w:tblLook w:val="04A0" w:firstRow="1" w:lastRow="0" w:firstColumn="1" w:lastColumn="0" w:noHBand="0" w:noVBand="1"/>
      </w:tblPr>
      <w:tblGrid>
        <w:gridCol w:w="4634"/>
        <w:gridCol w:w="4653"/>
      </w:tblGrid>
      <w:tr w:rsidR="00163A93" w:rsidRPr="00430E9B" w:rsidTr="0088002F">
        <w:trPr>
          <w:jc w:val="center"/>
        </w:trPr>
        <w:tc>
          <w:tcPr>
            <w:tcW w:w="4634" w:type="dxa"/>
            <w:shd w:val="clear" w:color="auto" w:fill="FFFFFF"/>
            <w:tcMar>
              <w:top w:w="0" w:type="dxa"/>
              <w:left w:w="108" w:type="dxa"/>
              <w:bottom w:w="0" w:type="dxa"/>
              <w:right w:w="108" w:type="dxa"/>
            </w:tcMar>
            <w:hideMark/>
          </w:tcPr>
          <w:p w:rsidR="00163A93" w:rsidRPr="00430E9B" w:rsidRDefault="00163A93" w:rsidP="0088002F">
            <w:pPr>
              <w:spacing w:before="120" w:after="120"/>
              <w:rPr>
                <w:rFonts w:ascii="Helvetica" w:hAnsi="Helvetica" w:cs="Helvetica"/>
                <w:sz w:val="21"/>
                <w:szCs w:val="21"/>
              </w:rPr>
            </w:pPr>
            <w:r w:rsidRPr="00430E9B">
              <w:rPr>
                <w:rFonts w:ascii="Helvetica" w:hAnsi="Helvetica" w:cs="Helvetica"/>
                <w:sz w:val="21"/>
                <w:szCs w:val="21"/>
                <w:shd w:val="clear" w:color="auto" w:fill="FFFFFF"/>
              </w:rPr>
              <w:t> </w:t>
            </w:r>
            <w:r w:rsidRPr="00430E9B">
              <w:rPr>
                <w:b/>
                <w:bCs/>
                <w:sz w:val="22"/>
                <w:u w:val="single"/>
                <w:bdr w:val="none" w:sz="0" w:space="0" w:color="auto" w:frame="1"/>
              </w:rPr>
              <w:t>Nơi nhận</w:t>
            </w:r>
            <w:r w:rsidRPr="00430E9B">
              <w:rPr>
                <w:b/>
                <w:bCs/>
                <w:sz w:val="22"/>
                <w:bdr w:val="none" w:sz="0" w:space="0" w:color="auto" w:frame="1"/>
              </w:rPr>
              <w:t>:</w:t>
            </w:r>
            <w:r w:rsidRPr="00430E9B">
              <w:rPr>
                <w:rFonts w:ascii="Helvetica" w:hAnsi="Helvetica" w:cs="Helvetica"/>
                <w:sz w:val="21"/>
                <w:szCs w:val="21"/>
              </w:rPr>
              <w:br/>
            </w:r>
            <w:r w:rsidRPr="00430E9B">
              <w:rPr>
                <w:sz w:val="22"/>
                <w:bdr w:val="none" w:sz="0" w:space="0" w:color="auto" w:frame="1"/>
              </w:rPr>
              <w:t xml:space="preserve">- Phòng GD&amp;ĐT </w:t>
            </w:r>
            <w:r w:rsidRPr="008D5871">
              <w:rPr>
                <w:sz w:val="22"/>
                <w:bdr w:val="none" w:sz="0" w:space="0" w:color="auto" w:frame="1"/>
              </w:rPr>
              <w:t>Uông Bí</w:t>
            </w:r>
            <w:r w:rsidRPr="00430E9B">
              <w:rPr>
                <w:sz w:val="22"/>
                <w:bdr w:val="none" w:sz="0" w:space="0" w:color="auto" w:frame="1"/>
              </w:rPr>
              <w:t xml:space="preserve"> (để b/c);</w:t>
            </w:r>
            <w:r w:rsidRPr="00430E9B">
              <w:rPr>
                <w:rFonts w:ascii="Helvetica" w:hAnsi="Helvetica" w:cs="Helvetica"/>
                <w:sz w:val="21"/>
                <w:szCs w:val="21"/>
              </w:rPr>
              <w:br/>
            </w:r>
            <w:r w:rsidRPr="00430E9B">
              <w:rPr>
                <w:sz w:val="22"/>
                <w:bdr w:val="none" w:sz="0" w:space="0" w:color="auto" w:frame="1"/>
              </w:rPr>
              <w:t xml:space="preserve">- Trường </w:t>
            </w:r>
            <w:r w:rsidRPr="008D5871">
              <w:rPr>
                <w:sz w:val="22"/>
                <w:bdr w:val="none" w:sz="0" w:space="0" w:color="auto" w:frame="1"/>
              </w:rPr>
              <w:t>TH Phương Nam B</w:t>
            </w:r>
            <w:r w:rsidRPr="00430E9B">
              <w:rPr>
                <w:sz w:val="22"/>
                <w:bdr w:val="none" w:sz="0" w:space="0" w:color="auto" w:frame="1"/>
              </w:rPr>
              <w:t xml:space="preserve"> (để t/h);</w:t>
            </w:r>
            <w:r w:rsidRPr="00430E9B">
              <w:rPr>
                <w:rFonts w:ascii="Helvetica" w:hAnsi="Helvetica" w:cs="Helvetica"/>
                <w:sz w:val="21"/>
                <w:szCs w:val="21"/>
              </w:rPr>
              <w:br/>
            </w:r>
            <w:r w:rsidRPr="00430E9B">
              <w:rPr>
                <w:sz w:val="22"/>
                <w:bdr w:val="none" w:sz="0" w:space="0" w:color="auto" w:frame="1"/>
              </w:rPr>
              <w:t>- Lưu VT./.</w:t>
            </w:r>
          </w:p>
        </w:tc>
        <w:tc>
          <w:tcPr>
            <w:tcW w:w="4653" w:type="dxa"/>
            <w:shd w:val="clear" w:color="auto" w:fill="FFFFFF"/>
            <w:tcMar>
              <w:top w:w="0" w:type="dxa"/>
              <w:left w:w="108" w:type="dxa"/>
              <w:bottom w:w="0" w:type="dxa"/>
              <w:right w:w="108" w:type="dxa"/>
            </w:tcMar>
            <w:hideMark/>
          </w:tcPr>
          <w:p w:rsidR="00163A93" w:rsidRPr="005C4A8B" w:rsidRDefault="00163A93" w:rsidP="0088002F">
            <w:pPr>
              <w:spacing w:before="120" w:after="120"/>
              <w:jc w:val="center"/>
              <w:rPr>
                <w:b/>
                <w:bCs/>
                <w:bdr w:val="none" w:sz="0" w:space="0" w:color="auto" w:frame="1"/>
              </w:rPr>
            </w:pPr>
            <w:r w:rsidRPr="005C4A8B">
              <w:rPr>
                <w:b/>
                <w:bCs/>
                <w:bdr w:val="none" w:sz="0" w:space="0" w:color="auto" w:frame="1"/>
              </w:rPr>
              <w:t>HIỆU TRƯỞNG</w:t>
            </w:r>
          </w:p>
          <w:p w:rsidR="00163A93" w:rsidRPr="00725381" w:rsidRDefault="00163A93" w:rsidP="00725381">
            <w:pPr>
              <w:spacing w:before="120" w:after="120"/>
              <w:jc w:val="center"/>
              <w:rPr>
                <w:rFonts w:ascii="Helvetica" w:hAnsi="Helvetica" w:cs="Helvetica"/>
                <w:sz w:val="21"/>
                <w:szCs w:val="21"/>
              </w:rPr>
            </w:pPr>
            <w:r w:rsidRPr="00430E9B">
              <w:rPr>
                <w:rFonts w:ascii="Helvetica" w:hAnsi="Helvetica" w:cs="Helvetica"/>
                <w:sz w:val="21"/>
                <w:szCs w:val="21"/>
              </w:rPr>
              <w:br/>
            </w:r>
            <w:r w:rsidRPr="00430E9B">
              <w:rPr>
                <w:rFonts w:ascii="Helvetica" w:hAnsi="Helvetica" w:cs="Helvetica"/>
                <w:sz w:val="21"/>
                <w:szCs w:val="21"/>
              </w:rPr>
              <w:br/>
            </w:r>
            <w:r w:rsidRPr="00430E9B">
              <w:rPr>
                <w:rFonts w:ascii="Helvetica" w:hAnsi="Helvetica" w:cs="Helvetica"/>
                <w:sz w:val="21"/>
                <w:szCs w:val="21"/>
              </w:rPr>
              <w:br/>
            </w:r>
            <w:r w:rsidRPr="00430E9B">
              <w:rPr>
                <w:rFonts w:ascii="Helvetica" w:hAnsi="Helvetica" w:cs="Helvetica"/>
                <w:sz w:val="21"/>
                <w:szCs w:val="21"/>
              </w:rPr>
              <w:br/>
            </w:r>
            <w:r w:rsidRPr="00430E9B">
              <w:rPr>
                <w:b/>
                <w:bCs/>
              </w:rPr>
              <w:t>  </w:t>
            </w:r>
            <w:r w:rsidRPr="00430E9B">
              <w:rPr>
                <w:rFonts w:ascii="Helvetica" w:hAnsi="Helvetica" w:cs="Helvetica"/>
                <w:sz w:val="21"/>
                <w:szCs w:val="21"/>
              </w:rPr>
              <w:br/>
            </w:r>
            <w:r w:rsidR="00725381" w:rsidRPr="00725381">
              <w:rPr>
                <w:b/>
                <w:bCs/>
                <w:bdr w:val="none" w:sz="0" w:space="0" w:color="auto" w:frame="1"/>
              </w:rPr>
              <w:t>Lê Thị Tuyết</w:t>
            </w:r>
          </w:p>
        </w:tc>
      </w:tr>
    </w:tbl>
    <w:p w:rsidR="003D7031" w:rsidRPr="00CF6AAC" w:rsidRDefault="003D7031" w:rsidP="00244FF9">
      <w:pPr>
        <w:shd w:val="clear" w:color="auto" w:fill="FFFFFF"/>
        <w:spacing w:after="150" w:line="276" w:lineRule="auto"/>
        <w:jc w:val="both"/>
        <w:rPr>
          <w:rFonts w:asciiTheme="majorHAnsi" w:hAnsiTheme="majorHAnsi" w:cstheme="majorHAnsi"/>
        </w:rPr>
      </w:pPr>
    </w:p>
    <w:p w:rsidR="003D7031" w:rsidRPr="00CF6AAC" w:rsidRDefault="003D7031" w:rsidP="003D7031">
      <w:pPr>
        <w:shd w:val="clear" w:color="auto" w:fill="FFFFFF"/>
        <w:spacing w:after="150" w:line="276" w:lineRule="auto"/>
        <w:jc w:val="both"/>
        <w:rPr>
          <w:rFonts w:asciiTheme="majorHAnsi" w:hAnsiTheme="majorHAnsi" w:cstheme="majorHAnsi"/>
        </w:rPr>
      </w:pPr>
      <w:r w:rsidRPr="00CF6AAC">
        <w:rPr>
          <w:rFonts w:asciiTheme="majorHAnsi" w:hAnsiTheme="majorHAnsi" w:cstheme="majorHAnsi"/>
          <w:b/>
          <w:bCs/>
        </w:rPr>
        <w:t> </w:t>
      </w:r>
    </w:p>
    <w:p w:rsidR="003D7031" w:rsidRPr="00CF6AAC" w:rsidRDefault="003D7031" w:rsidP="003D7031">
      <w:pPr>
        <w:shd w:val="clear" w:color="auto" w:fill="FFFFFF"/>
        <w:spacing w:before="300" w:after="150" w:line="276" w:lineRule="auto"/>
        <w:jc w:val="both"/>
        <w:outlineLvl w:val="0"/>
        <w:rPr>
          <w:rFonts w:asciiTheme="majorHAnsi" w:hAnsiTheme="majorHAnsi" w:cstheme="majorHAnsi"/>
          <w:kern w:val="36"/>
        </w:rPr>
      </w:pPr>
      <w:r w:rsidRPr="00CF6AAC">
        <w:rPr>
          <w:rFonts w:asciiTheme="majorHAnsi" w:hAnsiTheme="majorHAnsi" w:cstheme="majorHAnsi"/>
          <w:kern w:val="36"/>
        </w:rPr>
        <w:t> </w:t>
      </w:r>
    </w:p>
    <w:tbl>
      <w:tblPr>
        <w:tblW w:w="0" w:type="auto"/>
        <w:jc w:val="center"/>
        <w:tblCellMar>
          <w:left w:w="0" w:type="dxa"/>
          <w:right w:w="0" w:type="dxa"/>
        </w:tblCellMar>
        <w:tblLook w:val="04A0" w:firstRow="1" w:lastRow="0" w:firstColumn="1" w:lastColumn="0" w:noHBand="0" w:noVBand="1"/>
      </w:tblPr>
      <w:tblGrid>
        <w:gridCol w:w="3855"/>
        <w:gridCol w:w="5410"/>
      </w:tblGrid>
      <w:tr w:rsidR="003D7031" w:rsidRPr="00CF6AAC" w:rsidTr="00C74692">
        <w:trPr>
          <w:jc w:val="center"/>
        </w:trPr>
        <w:tc>
          <w:tcPr>
            <w:tcW w:w="3855" w:type="dxa"/>
            <w:shd w:val="clear" w:color="auto" w:fill="auto"/>
            <w:tcMar>
              <w:top w:w="0" w:type="dxa"/>
              <w:left w:w="108" w:type="dxa"/>
              <w:bottom w:w="0" w:type="dxa"/>
              <w:right w:w="108" w:type="dxa"/>
            </w:tcMar>
          </w:tcPr>
          <w:p w:rsidR="003D7031" w:rsidRPr="00CF6AAC" w:rsidRDefault="003D7031" w:rsidP="003D7031">
            <w:pPr>
              <w:spacing w:after="150" w:line="276" w:lineRule="auto"/>
              <w:jc w:val="both"/>
              <w:rPr>
                <w:rFonts w:asciiTheme="majorHAnsi" w:hAnsiTheme="majorHAnsi" w:cstheme="majorHAnsi"/>
              </w:rPr>
            </w:pPr>
          </w:p>
        </w:tc>
        <w:tc>
          <w:tcPr>
            <w:tcW w:w="5410" w:type="dxa"/>
            <w:shd w:val="clear" w:color="auto" w:fill="auto"/>
            <w:tcMar>
              <w:top w:w="0" w:type="dxa"/>
              <w:left w:w="108" w:type="dxa"/>
              <w:bottom w:w="0" w:type="dxa"/>
              <w:right w:w="108" w:type="dxa"/>
            </w:tcMar>
          </w:tcPr>
          <w:p w:rsidR="003D7031" w:rsidRPr="00CF6AAC" w:rsidRDefault="003D7031" w:rsidP="003D7031">
            <w:pPr>
              <w:spacing w:after="150" w:line="276" w:lineRule="auto"/>
              <w:jc w:val="both"/>
              <w:rPr>
                <w:rFonts w:asciiTheme="majorHAnsi" w:hAnsiTheme="majorHAnsi" w:cstheme="majorHAnsi"/>
              </w:rPr>
            </w:pPr>
          </w:p>
        </w:tc>
      </w:tr>
    </w:tbl>
    <w:p w:rsidR="003D7031" w:rsidRPr="00CF6AAC" w:rsidRDefault="003D7031" w:rsidP="003D7031">
      <w:pPr>
        <w:shd w:val="clear" w:color="auto" w:fill="FFFFFF"/>
        <w:spacing w:before="300" w:after="150" w:line="276" w:lineRule="auto"/>
        <w:jc w:val="both"/>
        <w:outlineLvl w:val="0"/>
        <w:rPr>
          <w:rFonts w:asciiTheme="majorHAnsi" w:hAnsiTheme="majorHAnsi" w:cstheme="majorHAnsi"/>
          <w:kern w:val="36"/>
        </w:rPr>
      </w:pPr>
      <w:r w:rsidRPr="00CF6AAC">
        <w:rPr>
          <w:rFonts w:asciiTheme="majorHAnsi" w:hAnsiTheme="majorHAnsi" w:cstheme="majorHAnsi"/>
          <w:kern w:val="36"/>
        </w:rPr>
        <w:t> </w:t>
      </w:r>
    </w:p>
    <w:p w:rsidR="003D7031" w:rsidRPr="00CF6AAC" w:rsidRDefault="003D7031" w:rsidP="003D7031">
      <w:pPr>
        <w:shd w:val="clear" w:color="auto" w:fill="FFFFFF"/>
        <w:spacing w:after="150" w:line="276" w:lineRule="auto"/>
        <w:jc w:val="both"/>
        <w:rPr>
          <w:rFonts w:asciiTheme="majorHAnsi" w:hAnsiTheme="majorHAnsi" w:cstheme="majorHAnsi"/>
        </w:rPr>
      </w:pPr>
      <w:r w:rsidRPr="00CF6AAC">
        <w:rPr>
          <w:rFonts w:asciiTheme="majorHAnsi" w:hAnsiTheme="majorHAnsi" w:cstheme="majorHAnsi"/>
          <w:b/>
          <w:bCs/>
        </w:rPr>
        <w:t> </w:t>
      </w:r>
    </w:p>
    <w:p w:rsidR="003D7031" w:rsidRPr="00CF6AAC" w:rsidRDefault="003D7031" w:rsidP="003D7031">
      <w:pPr>
        <w:shd w:val="clear" w:color="auto" w:fill="FFFFFF"/>
        <w:spacing w:after="150" w:line="276" w:lineRule="auto"/>
        <w:jc w:val="both"/>
        <w:rPr>
          <w:rFonts w:asciiTheme="majorHAnsi" w:hAnsiTheme="majorHAnsi" w:cstheme="majorHAnsi"/>
        </w:rPr>
      </w:pPr>
      <w:r w:rsidRPr="00CF6AAC">
        <w:rPr>
          <w:rFonts w:asciiTheme="majorHAnsi" w:hAnsiTheme="majorHAnsi" w:cstheme="majorHAnsi"/>
          <w:b/>
          <w:bCs/>
        </w:rPr>
        <w:t> </w:t>
      </w:r>
    </w:p>
    <w:p w:rsidR="003D7031" w:rsidRPr="00CF6AAC" w:rsidRDefault="003D7031" w:rsidP="003D7031">
      <w:pPr>
        <w:shd w:val="clear" w:color="auto" w:fill="FFFFFF"/>
        <w:spacing w:after="150" w:line="276" w:lineRule="auto"/>
        <w:jc w:val="both"/>
        <w:rPr>
          <w:rFonts w:asciiTheme="majorHAnsi" w:hAnsiTheme="majorHAnsi" w:cstheme="majorHAnsi"/>
        </w:rPr>
      </w:pPr>
      <w:r w:rsidRPr="00CF6AAC">
        <w:rPr>
          <w:rFonts w:asciiTheme="majorHAnsi" w:hAnsiTheme="majorHAnsi" w:cstheme="majorHAnsi"/>
          <w:b/>
          <w:bCs/>
        </w:rPr>
        <w:t> </w:t>
      </w:r>
    </w:p>
    <w:p w:rsidR="00892A40" w:rsidRPr="00CF6AAC" w:rsidRDefault="00892A40" w:rsidP="003D7031">
      <w:pPr>
        <w:spacing w:line="276" w:lineRule="auto"/>
        <w:jc w:val="both"/>
        <w:rPr>
          <w:rFonts w:asciiTheme="majorHAnsi" w:hAnsiTheme="majorHAnsi" w:cstheme="majorHAnsi"/>
        </w:rPr>
      </w:pPr>
    </w:p>
    <w:sectPr w:rsidR="00892A40" w:rsidRPr="00CF6AAC" w:rsidSect="00F129F6">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8E" w:rsidRDefault="0064268E" w:rsidP="003B1B47">
      <w:r>
        <w:separator/>
      </w:r>
    </w:p>
  </w:endnote>
  <w:endnote w:type="continuationSeparator" w:id="0">
    <w:p w:rsidR="0064268E" w:rsidRDefault="0064268E" w:rsidP="003B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3"/>
    <w:family w:val="swiss"/>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8E" w:rsidRDefault="0064268E" w:rsidP="003B1B47">
      <w:r>
        <w:separator/>
      </w:r>
    </w:p>
  </w:footnote>
  <w:footnote w:type="continuationSeparator" w:id="0">
    <w:p w:rsidR="0064268E" w:rsidRDefault="0064268E" w:rsidP="003B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9676"/>
      <w:docPartObj>
        <w:docPartGallery w:val="Page Numbers (Top of Page)"/>
        <w:docPartUnique/>
      </w:docPartObj>
    </w:sdtPr>
    <w:sdtEndPr>
      <w:rPr>
        <w:noProof/>
        <w:sz w:val="24"/>
        <w:szCs w:val="24"/>
      </w:rPr>
    </w:sdtEndPr>
    <w:sdtContent>
      <w:p w:rsidR="003B1B47" w:rsidRPr="00D266BC" w:rsidRDefault="003B1B47" w:rsidP="00D266BC">
        <w:pPr>
          <w:pStyle w:val="Header"/>
          <w:jc w:val="center"/>
          <w:rPr>
            <w:sz w:val="24"/>
            <w:szCs w:val="24"/>
          </w:rPr>
        </w:pPr>
        <w:r w:rsidRPr="00D266BC">
          <w:rPr>
            <w:sz w:val="24"/>
            <w:szCs w:val="24"/>
          </w:rPr>
          <w:fldChar w:fldCharType="begin"/>
        </w:r>
        <w:r w:rsidRPr="00D266BC">
          <w:rPr>
            <w:sz w:val="24"/>
            <w:szCs w:val="24"/>
          </w:rPr>
          <w:instrText xml:space="preserve"> PAGE   \* MERGEFORMAT </w:instrText>
        </w:r>
        <w:r w:rsidRPr="00D266BC">
          <w:rPr>
            <w:sz w:val="24"/>
            <w:szCs w:val="24"/>
          </w:rPr>
          <w:fldChar w:fldCharType="separate"/>
        </w:r>
        <w:r w:rsidR="00F129F6">
          <w:rPr>
            <w:noProof/>
            <w:sz w:val="24"/>
            <w:szCs w:val="24"/>
          </w:rPr>
          <w:t>8</w:t>
        </w:r>
        <w:r w:rsidRPr="00D266BC">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97B"/>
    <w:multiLevelType w:val="multilevel"/>
    <w:tmpl w:val="2504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524D6"/>
    <w:multiLevelType w:val="multilevel"/>
    <w:tmpl w:val="E2C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95EB9"/>
    <w:multiLevelType w:val="multilevel"/>
    <w:tmpl w:val="60C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C79AD"/>
    <w:multiLevelType w:val="multilevel"/>
    <w:tmpl w:val="749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4D68CF"/>
    <w:multiLevelType w:val="hybridMultilevel"/>
    <w:tmpl w:val="AF0AA414"/>
    <w:lvl w:ilvl="0" w:tplc="0CB49A44">
      <w:start w:val="3"/>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D02661D"/>
    <w:multiLevelType w:val="hybridMultilevel"/>
    <w:tmpl w:val="7DA6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572C"/>
    <w:multiLevelType w:val="hybridMultilevel"/>
    <w:tmpl w:val="F99EBFAA"/>
    <w:lvl w:ilvl="0" w:tplc="FCD05CF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3C92FE1"/>
    <w:multiLevelType w:val="multilevel"/>
    <w:tmpl w:val="1CFE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930CD"/>
    <w:multiLevelType w:val="multilevel"/>
    <w:tmpl w:val="E2A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AB5F33"/>
    <w:multiLevelType w:val="multilevel"/>
    <w:tmpl w:val="E3E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A94E55"/>
    <w:multiLevelType w:val="multilevel"/>
    <w:tmpl w:val="BFB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2B714F"/>
    <w:multiLevelType w:val="multilevel"/>
    <w:tmpl w:val="4504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F327CA"/>
    <w:multiLevelType w:val="multilevel"/>
    <w:tmpl w:val="7642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571E06"/>
    <w:multiLevelType w:val="multilevel"/>
    <w:tmpl w:val="EDD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80761"/>
    <w:multiLevelType w:val="hybridMultilevel"/>
    <w:tmpl w:val="E2845E86"/>
    <w:lvl w:ilvl="0" w:tplc="B9380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51417"/>
    <w:multiLevelType w:val="hybridMultilevel"/>
    <w:tmpl w:val="22403888"/>
    <w:lvl w:ilvl="0" w:tplc="C8BED62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C2D1AC1"/>
    <w:multiLevelType w:val="multilevel"/>
    <w:tmpl w:val="4BE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5C1841"/>
    <w:multiLevelType w:val="multilevel"/>
    <w:tmpl w:val="328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10"/>
  </w:num>
  <w:num w:numId="5">
    <w:abstractNumId w:val="8"/>
  </w:num>
  <w:num w:numId="6">
    <w:abstractNumId w:val="2"/>
  </w:num>
  <w:num w:numId="7">
    <w:abstractNumId w:val="12"/>
  </w:num>
  <w:num w:numId="8">
    <w:abstractNumId w:val="16"/>
  </w:num>
  <w:num w:numId="9">
    <w:abstractNumId w:val="17"/>
  </w:num>
  <w:num w:numId="10">
    <w:abstractNumId w:val="9"/>
  </w:num>
  <w:num w:numId="11">
    <w:abstractNumId w:val="1"/>
  </w:num>
  <w:num w:numId="12">
    <w:abstractNumId w:val="11"/>
  </w:num>
  <w:num w:numId="13">
    <w:abstractNumId w:val="13"/>
  </w:num>
  <w:num w:numId="14">
    <w:abstractNumId w:val="6"/>
  </w:num>
  <w:num w:numId="15">
    <w:abstractNumId w:val="15"/>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31"/>
    <w:rsid w:val="00163A93"/>
    <w:rsid w:val="00244FF9"/>
    <w:rsid w:val="00270B2C"/>
    <w:rsid w:val="00375067"/>
    <w:rsid w:val="003B1B47"/>
    <w:rsid w:val="003D7031"/>
    <w:rsid w:val="00597442"/>
    <w:rsid w:val="005C4A8B"/>
    <w:rsid w:val="005E0267"/>
    <w:rsid w:val="0064268E"/>
    <w:rsid w:val="00725381"/>
    <w:rsid w:val="00804A36"/>
    <w:rsid w:val="00834629"/>
    <w:rsid w:val="00874E0C"/>
    <w:rsid w:val="00892A40"/>
    <w:rsid w:val="009B1235"/>
    <w:rsid w:val="00A5518C"/>
    <w:rsid w:val="00AD2CF8"/>
    <w:rsid w:val="00C74692"/>
    <w:rsid w:val="00CF6AAC"/>
    <w:rsid w:val="00D266BC"/>
    <w:rsid w:val="00D9131A"/>
    <w:rsid w:val="00E20998"/>
    <w:rsid w:val="00EF1C96"/>
    <w:rsid w:val="00F129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uiPriority w:val="9"/>
    <w:qFormat/>
    <w:rsid w:val="003D70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031"/>
    <w:rPr>
      <w:b/>
      <w:bCs/>
      <w:kern w:val="36"/>
      <w:sz w:val="48"/>
      <w:szCs w:val="48"/>
    </w:rPr>
  </w:style>
  <w:style w:type="paragraph" w:styleId="NormalWeb">
    <w:name w:val="Normal (Web)"/>
    <w:basedOn w:val="Normal"/>
    <w:uiPriority w:val="99"/>
    <w:unhideWhenUsed/>
    <w:rsid w:val="003D7031"/>
    <w:pPr>
      <w:spacing w:before="100" w:beforeAutospacing="1" w:after="100" w:afterAutospacing="1"/>
    </w:pPr>
    <w:rPr>
      <w:sz w:val="24"/>
      <w:szCs w:val="24"/>
    </w:rPr>
  </w:style>
  <w:style w:type="character" w:styleId="Strong">
    <w:name w:val="Strong"/>
    <w:basedOn w:val="DefaultParagraphFont"/>
    <w:uiPriority w:val="22"/>
    <w:qFormat/>
    <w:rsid w:val="003D7031"/>
    <w:rPr>
      <w:b/>
      <w:bCs/>
    </w:rPr>
  </w:style>
  <w:style w:type="character" w:styleId="Emphasis">
    <w:name w:val="Emphasis"/>
    <w:basedOn w:val="DefaultParagraphFont"/>
    <w:uiPriority w:val="20"/>
    <w:qFormat/>
    <w:rsid w:val="003D7031"/>
    <w:rPr>
      <w:i/>
      <w:iCs/>
    </w:rPr>
  </w:style>
  <w:style w:type="paragraph" w:customStyle="1" w:styleId="tableparagraph">
    <w:name w:val="tableparagraph"/>
    <w:basedOn w:val="Normal"/>
    <w:rsid w:val="003D7031"/>
    <w:pPr>
      <w:spacing w:before="100" w:beforeAutospacing="1" w:after="100" w:afterAutospacing="1"/>
    </w:pPr>
    <w:rPr>
      <w:sz w:val="24"/>
      <w:szCs w:val="24"/>
    </w:rPr>
  </w:style>
  <w:style w:type="paragraph" w:styleId="ListParagraph">
    <w:name w:val="List Paragraph"/>
    <w:basedOn w:val="Normal"/>
    <w:uiPriority w:val="34"/>
    <w:qFormat/>
    <w:rsid w:val="003D7031"/>
    <w:pPr>
      <w:ind w:left="720"/>
      <w:contextualSpacing/>
    </w:pPr>
  </w:style>
  <w:style w:type="paragraph" w:customStyle="1" w:styleId="Char">
    <w:name w:val="Char"/>
    <w:basedOn w:val="Normal"/>
    <w:autoRedefine/>
    <w:rsid w:val="00244F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
    <w:name w:val="Body text (2)_"/>
    <w:link w:val="Bodytext21"/>
    <w:uiPriority w:val="99"/>
    <w:rsid w:val="00244FF9"/>
    <w:rPr>
      <w:sz w:val="26"/>
      <w:szCs w:val="26"/>
      <w:shd w:val="clear" w:color="auto" w:fill="FFFFFF"/>
    </w:rPr>
  </w:style>
  <w:style w:type="paragraph" w:customStyle="1" w:styleId="Bodytext21">
    <w:name w:val="Body text (2)1"/>
    <w:basedOn w:val="Normal"/>
    <w:link w:val="Bodytext2"/>
    <w:uiPriority w:val="99"/>
    <w:rsid w:val="00244FF9"/>
    <w:pPr>
      <w:widowControl w:val="0"/>
      <w:shd w:val="clear" w:color="auto" w:fill="FFFFFF"/>
      <w:spacing w:before="600" w:line="324" w:lineRule="exact"/>
    </w:pPr>
    <w:rPr>
      <w:sz w:val="26"/>
      <w:szCs w:val="26"/>
    </w:rPr>
  </w:style>
  <w:style w:type="paragraph" w:styleId="Header">
    <w:name w:val="header"/>
    <w:basedOn w:val="Normal"/>
    <w:link w:val="HeaderChar"/>
    <w:uiPriority w:val="99"/>
    <w:rsid w:val="003B1B47"/>
    <w:pPr>
      <w:tabs>
        <w:tab w:val="center" w:pos="4513"/>
        <w:tab w:val="right" w:pos="9026"/>
      </w:tabs>
    </w:pPr>
  </w:style>
  <w:style w:type="character" w:customStyle="1" w:styleId="HeaderChar">
    <w:name w:val="Header Char"/>
    <w:basedOn w:val="DefaultParagraphFont"/>
    <w:link w:val="Header"/>
    <w:uiPriority w:val="99"/>
    <w:rsid w:val="003B1B47"/>
    <w:rPr>
      <w:sz w:val="28"/>
      <w:szCs w:val="28"/>
    </w:rPr>
  </w:style>
  <w:style w:type="paragraph" w:styleId="Footer">
    <w:name w:val="footer"/>
    <w:basedOn w:val="Normal"/>
    <w:link w:val="FooterChar"/>
    <w:rsid w:val="003B1B47"/>
    <w:pPr>
      <w:tabs>
        <w:tab w:val="center" w:pos="4513"/>
        <w:tab w:val="right" w:pos="9026"/>
      </w:tabs>
    </w:pPr>
  </w:style>
  <w:style w:type="character" w:customStyle="1" w:styleId="FooterChar">
    <w:name w:val="Footer Char"/>
    <w:basedOn w:val="DefaultParagraphFont"/>
    <w:link w:val="Footer"/>
    <w:rsid w:val="003B1B4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uiPriority w:val="9"/>
    <w:qFormat/>
    <w:rsid w:val="003D70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031"/>
    <w:rPr>
      <w:b/>
      <w:bCs/>
      <w:kern w:val="36"/>
      <w:sz w:val="48"/>
      <w:szCs w:val="48"/>
    </w:rPr>
  </w:style>
  <w:style w:type="paragraph" w:styleId="NormalWeb">
    <w:name w:val="Normal (Web)"/>
    <w:basedOn w:val="Normal"/>
    <w:uiPriority w:val="99"/>
    <w:unhideWhenUsed/>
    <w:rsid w:val="003D7031"/>
    <w:pPr>
      <w:spacing w:before="100" w:beforeAutospacing="1" w:after="100" w:afterAutospacing="1"/>
    </w:pPr>
    <w:rPr>
      <w:sz w:val="24"/>
      <w:szCs w:val="24"/>
    </w:rPr>
  </w:style>
  <w:style w:type="character" w:styleId="Strong">
    <w:name w:val="Strong"/>
    <w:basedOn w:val="DefaultParagraphFont"/>
    <w:uiPriority w:val="22"/>
    <w:qFormat/>
    <w:rsid w:val="003D7031"/>
    <w:rPr>
      <w:b/>
      <w:bCs/>
    </w:rPr>
  </w:style>
  <w:style w:type="character" w:styleId="Emphasis">
    <w:name w:val="Emphasis"/>
    <w:basedOn w:val="DefaultParagraphFont"/>
    <w:uiPriority w:val="20"/>
    <w:qFormat/>
    <w:rsid w:val="003D7031"/>
    <w:rPr>
      <w:i/>
      <w:iCs/>
    </w:rPr>
  </w:style>
  <w:style w:type="paragraph" w:customStyle="1" w:styleId="tableparagraph">
    <w:name w:val="tableparagraph"/>
    <w:basedOn w:val="Normal"/>
    <w:rsid w:val="003D7031"/>
    <w:pPr>
      <w:spacing w:before="100" w:beforeAutospacing="1" w:after="100" w:afterAutospacing="1"/>
    </w:pPr>
    <w:rPr>
      <w:sz w:val="24"/>
      <w:szCs w:val="24"/>
    </w:rPr>
  </w:style>
  <w:style w:type="paragraph" w:styleId="ListParagraph">
    <w:name w:val="List Paragraph"/>
    <w:basedOn w:val="Normal"/>
    <w:uiPriority w:val="34"/>
    <w:qFormat/>
    <w:rsid w:val="003D7031"/>
    <w:pPr>
      <w:ind w:left="720"/>
      <w:contextualSpacing/>
    </w:pPr>
  </w:style>
  <w:style w:type="paragraph" w:customStyle="1" w:styleId="Char">
    <w:name w:val="Char"/>
    <w:basedOn w:val="Normal"/>
    <w:autoRedefine/>
    <w:rsid w:val="00244F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
    <w:name w:val="Body text (2)_"/>
    <w:link w:val="Bodytext21"/>
    <w:uiPriority w:val="99"/>
    <w:rsid w:val="00244FF9"/>
    <w:rPr>
      <w:sz w:val="26"/>
      <w:szCs w:val="26"/>
      <w:shd w:val="clear" w:color="auto" w:fill="FFFFFF"/>
    </w:rPr>
  </w:style>
  <w:style w:type="paragraph" w:customStyle="1" w:styleId="Bodytext21">
    <w:name w:val="Body text (2)1"/>
    <w:basedOn w:val="Normal"/>
    <w:link w:val="Bodytext2"/>
    <w:uiPriority w:val="99"/>
    <w:rsid w:val="00244FF9"/>
    <w:pPr>
      <w:widowControl w:val="0"/>
      <w:shd w:val="clear" w:color="auto" w:fill="FFFFFF"/>
      <w:spacing w:before="600" w:line="324" w:lineRule="exact"/>
    </w:pPr>
    <w:rPr>
      <w:sz w:val="26"/>
      <w:szCs w:val="26"/>
    </w:rPr>
  </w:style>
  <w:style w:type="paragraph" w:styleId="Header">
    <w:name w:val="header"/>
    <w:basedOn w:val="Normal"/>
    <w:link w:val="HeaderChar"/>
    <w:uiPriority w:val="99"/>
    <w:rsid w:val="003B1B47"/>
    <w:pPr>
      <w:tabs>
        <w:tab w:val="center" w:pos="4513"/>
        <w:tab w:val="right" w:pos="9026"/>
      </w:tabs>
    </w:pPr>
  </w:style>
  <w:style w:type="character" w:customStyle="1" w:styleId="HeaderChar">
    <w:name w:val="Header Char"/>
    <w:basedOn w:val="DefaultParagraphFont"/>
    <w:link w:val="Header"/>
    <w:uiPriority w:val="99"/>
    <w:rsid w:val="003B1B47"/>
    <w:rPr>
      <w:sz w:val="28"/>
      <w:szCs w:val="28"/>
    </w:rPr>
  </w:style>
  <w:style w:type="paragraph" w:styleId="Footer">
    <w:name w:val="footer"/>
    <w:basedOn w:val="Normal"/>
    <w:link w:val="FooterChar"/>
    <w:rsid w:val="003B1B47"/>
    <w:pPr>
      <w:tabs>
        <w:tab w:val="center" w:pos="4513"/>
        <w:tab w:val="right" w:pos="9026"/>
      </w:tabs>
    </w:pPr>
  </w:style>
  <w:style w:type="character" w:customStyle="1" w:styleId="FooterChar">
    <w:name w:val="Footer Char"/>
    <w:basedOn w:val="DefaultParagraphFont"/>
    <w:link w:val="Footer"/>
    <w:rsid w:val="003B1B4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1668">
      <w:bodyDiv w:val="1"/>
      <w:marLeft w:val="0"/>
      <w:marRight w:val="0"/>
      <w:marTop w:val="0"/>
      <w:marBottom w:val="0"/>
      <w:divBdr>
        <w:top w:val="none" w:sz="0" w:space="0" w:color="auto"/>
        <w:left w:val="none" w:sz="0" w:space="0" w:color="auto"/>
        <w:bottom w:val="none" w:sz="0" w:space="0" w:color="auto"/>
        <w:right w:val="none" w:sz="0" w:space="0" w:color="auto"/>
      </w:divBdr>
      <w:divsChild>
        <w:div w:id="192441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dc:creator>
  <cp:lastModifiedBy>VPC</cp:lastModifiedBy>
  <cp:revision>7</cp:revision>
  <cp:lastPrinted>2023-01-08T02:34:00Z</cp:lastPrinted>
  <dcterms:created xsi:type="dcterms:W3CDTF">2023-01-08T02:18:00Z</dcterms:created>
  <dcterms:modified xsi:type="dcterms:W3CDTF">2023-01-08T02:34:00Z</dcterms:modified>
</cp:coreProperties>
</file>