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7" w:type="dxa"/>
        <w:tblLook w:val="01E0"/>
      </w:tblPr>
      <w:tblGrid>
        <w:gridCol w:w="4077"/>
        <w:gridCol w:w="5400"/>
      </w:tblGrid>
      <w:tr w:rsidR="00E42131" w:rsidRPr="00F3148F" w:rsidTr="00BE7DF3">
        <w:tc>
          <w:tcPr>
            <w:tcW w:w="4077" w:type="dxa"/>
          </w:tcPr>
          <w:p w:rsidR="00E42131" w:rsidRPr="00F3148F" w:rsidRDefault="00E42131" w:rsidP="00BE7DF3">
            <w:pPr>
              <w:jc w:val="center"/>
              <w:rPr>
                <w:sz w:val="26"/>
              </w:rPr>
            </w:pPr>
            <w:r w:rsidRPr="00F3148F">
              <w:rPr>
                <w:sz w:val="26"/>
              </w:rPr>
              <w:t>UBND THÀNH PHỐ UÔNG BÍ</w:t>
            </w:r>
          </w:p>
        </w:tc>
        <w:tc>
          <w:tcPr>
            <w:tcW w:w="5400" w:type="dxa"/>
          </w:tcPr>
          <w:p w:rsidR="00E42131" w:rsidRPr="00F3148F" w:rsidRDefault="00E42131" w:rsidP="00BE7DF3">
            <w:pPr>
              <w:jc w:val="center"/>
              <w:rPr>
                <w:b/>
              </w:rPr>
            </w:pPr>
            <w:r w:rsidRPr="00F3148F">
              <w:rPr>
                <w:b/>
              </w:rPr>
              <w:t xml:space="preserve">CỘNG HÒA XÃ HỘI CHỦ NGHĨA VIỆT </w:t>
            </w:r>
            <w:smartTag w:uri="urn:schemas-microsoft-com:office:smarttags" w:element="place">
              <w:smartTag w:uri="urn:schemas-microsoft-com:office:smarttags" w:element="country-region">
                <w:r w:rsidRPr="00F3148F">
                  <w:rPr>
                    <w:b/>
                  </w:rPr>
                  <w:t>NAM</w:t>
                </w:r>
              </w:smartTag>
            </w:smartTag>
          </w:p>
        </w:tc>
      </w:tr>
      <w:tr w:rsidR="00E42131" w:rsidRPr="00F3148F" w:rsidTr="00BE7DF3">
        <w:tc>
          <w:tcPr>
            <w:tcW w:w="4077" w:type="dxa"/>
          </w:tcPr>
          <w:p w:rsidR="00E42131" w:rsidRPr="00F3148F" w:rsidRDefault="00E42131" w:rsidP="00BE7DF3">
            <w:pPr>
              <w:jc w:val="center"/>
              <w:rPr>
                <w:b/>
              </w:rPr>
            </w:pPr>
            <w:r w:rsidRPr="00F3148F">
              <w:rPr>
                <w:b/>
                <w:noProof/>
              </w:rPr>
              <w:pict>
                <v:line id="_x0000_s1026" style="position:absolute;left:0;text-align:left;z-index:251660288;mso-position-horizontal-relative:text;mso-position-vertical-relative:text" from="54.55pt,14.6pt" to="132.55pt,14.6pt"/>
              </w:pict>
            </w:r>
            <w:r w:rsidRPr="00F3148F">
              <w:rPr>
                <w:b/>
              </w:rPr>
              <w:t>PHÒNG GIÁO DỤC&amp;ĐÀO TẠO</w:t>
            </w:r>
          </w:p>
        </w:tc>
        <w:tc>
          <w:tcPr>
            <w:tcW w:w="5400" w:type="dxa"/>
          </w:tcPr>
          <w:p w:rsidR="00E42131" w:rsidRPr="00F3148F" w:rsidRDefault="00E42131" w:rsidP="00BE7DF3">
            <w:pPr>
              <w:jc w:val="center"/>
              <w:rPr>
                <w:b/>
                <w:sz w:val="28"/>
                <w:szCs w:val="28"/>
              </w:rPr>
            </w:pPr>
            <w:r w:rsidRPr="00F3148F">
              <w:rPr>
                <w:b/>
                <w:sz w:val="28"/>
                <w:szCs w:val="28"/>
              </w:rPr>
              <w:t>Độc lập - Tự do - Hạnh phúc</w:t>
            </w:r>
          </w:p>
        </w:tc>
      </w:tr>
      <w:tr w:rsidR="00E42131" w:rsidRPr="00F3148F" w:rsidTr="00BE7DF3">
        <w:tc>
          <w:tcPr>
            <w:tcW w:w="4077" w:type="dxa"/>
          </w:tcPr>
          <w:p w:rsidR="00E42131" w:rsidRPr="00F3148F" w:rsidRDefault="00E42131" w:rsidP="00BE7DF3">
            <w:pPr>
              <w:spacing w:before="60"/>
              <w:jc w:val="center"/>
              <w:rPr>
                <w:sz w:val="26"/>
              </w:rPr>
            </w:pPr>
            <w:r w:rsidRPr="00F3148F">
              <w:rPr>
                <w:sz w:val="26"/>
              </w:rPr>
              <w:t>Số: 910/HD-PGDĐT</w:t>
            </w:r>
          </w:p>
          <w:p w:rsidR="00E42131" w:rsidRPr="00F3148F" w:rsidRDefault="00E42131" w:rsidP="00BE7DF3">
            <w:pPr>
              <w:spacing w:before="60"/>
              <w:jc w:val="center"/>
            </w:pPr>
            <w:r w:rsidRPr="00F3148F">
              <w:t>V/v hướng dẫn triển khai thực hiện các khoản thu, chi ngoài ngân sách, chấn chỉnh tình trạng lạm thu trong các cơ sở giáo dục từ năm học 2018-2019</w:t>
            </w:r>
          </w:p>
        </w:tc>
        <w:tc>
          <w:tcPr>
            <w:tcW w:w="5400" w:type="dxa"/>
          </w:tcPr>
          <w:p w:rsidR="00E42131" w:rsidRPr="00F3148F" w:rsidRDefault="00E42131" w:rsidP="00BE7DF3">
            <w:pPr>
              <w:spacing w:before="120"/>
              <w:jc w:val="right"/>
              <w:rPr>
                <w:i/>
                <w:sz w:val="28"/>
                <w:szCs w:val="28"/>
              </w:rPr>
            </w:pPr>
            <w:r w:rsidRPr="00F3148F">
              <w:rPr>
                <w:noProof/>
              </w:rPr>
              <w:pict>
                <v:line id="_x0000_s1027" style="position:absolute;left:0;text-align:left;z-index:251661312;mso-position-horizontal-relative:text;mso-position-vertical-relative:text" from="45.15pt,3.8pt" to="212.85pt,3.8pt"/>
              </w:pict>
            </w:r>
          </w:p>
          <w:p w:rsidR="00E42131" w:rsidRPr="00F3148F" w:rsidRDefault="00E42131" w:rsidP="00BE7DF3">
            <w:pPr>
              <w:spacing w:before="120"/>
              <w:jc w:val="right"/>
              <w:rPr>
                <w:i/>
                <w:sz w:val="28"/>
                <w:szCs w:val="28"/>
              </w:rPr>
            </w:pPr>
            <w:r w:rsidRPr="00F3148F">
              <w:rPr>
                <w:i/>
                <w:sz w:val="28"/>
                <w:szCs w:val="28"/>
              </w:rPr>
              <w:t>Uông Bí, ngày 06 tháng 9  năm 2018</w:t>
            </w:r>
          </w:p>
        </w:tc>
      </w:tr>
    </w:tbl>
    <w:p w:rsidR="00E42131" w:rsidRPr="00F3148F" w:rsidRDefault="00E42131" w:rsidP="00E42131">
      <w:pPr>
        <w:rPr>
          <w:sz w:val="28"/>
          <w:szCs w:val="28"/>
        </w:rPr>
      </w:pPr>
      <w:r w:rsidRPr="00F3148F">
        <w:rPr>
          <w:sz w:val="28"/>
          <w:szCs w:val="28"/>
        </w:rPr>
        <w:tab/>
      </w:r>
    </w:p>
    <w:tbl>
      <w:tblPr>
        <w:tblW w:w="0" w:type="auto"/>
        <w:tblLook w:val="01E0"/>
      </w:tblPr>
      <w:tblGrid>
        <w:gridCol w:w="2628"/>
        <w:gridCol w:w="6480"/>
      </w:tblGrid>
      <w:tr w:rsidR="00E42131" w:rsidRPr="00F3148F" w:rsidTr="00BE7DF3">
        <w:tc>
          <w:tcPr>
            <w:tcW w:w="2628" w:type="dxa"/>
          </w:tcPr>
          <w:p w:rsidR="00E42131" w:rsidRPr="00F3148F" w:rsidRDefault="00E42131" w:rsidP="00BE7DF3">
            <w:pPr>
              <w:jc w:val="right"/>
              <w:rPr>
                <w:sz w:val="26"/>
              </w:rPr>
            </w:pPr>
            <w:r w:rsidRPr="00F3148F">
              <w:rPr>
                <w:sz w:val="28"/>
                <w:szCs w:val="28"/>
              </w:rPr>
              <w:t>Kính gửi:</w:t>
            </w:r>
          </w:p>
        </w:tc>
        <w:tc>
          <w:tcPr>
            <w:tcW w:w="6480" w:type="dxa"/>
          </w:tcPr>
          <w:p w:rsidR="00E42131" w:rsidRPr="00F3148F" w:rsidRDefault="00E42131" w:rsidP="00BE7DF3">
            <w:pPr>
              <w:jc w:val="both"/>
            </w:pPr>
            <w:r w:rsidRPr="00F3148F">
              <w:rPr>
                <w:sz w:val="28"/>
                <w:szCs w:val="28"/>
              </w:rPr>
              <w:t>Các đơn vị trường học trên địa bàn Thành phố.</w:t>
            </w:r>
          </w:p>
        </w:tc>
      </w:tr>
    </w:tbl>
    <w:p w:rsidR="00E42131" w:rsidRPr="00F3148F" w:rsidRDefault="00E42131" w:rsidP="00E42131">
      <w:pPr>
        <w:rPr>
          <w:sz w:val="28"/>
          <w:szCs w:val="28"/>
        </w:rPr>
      </w:pPr>
      <w:r w:rsidRPr="00F3148F">
        <w:rPr>
          <w:sz w:val="28"/>
          <w:szCs w:val="28"/>
        </w:rPr>
        <w:tab/>
      </w:r>
    </w:p>
    <w:p w:rsidR="00E42131" w:rsidRPr="00F3148F" w:rsidRDefault="00E42131" w:rsidP="00E42131">
      <w:pPr>
        <w:spacing w:before="120"/>
        <w:ind w:firstLine="720"/>
        <w:jc w:val="both"/>
        <w:rPr>
          <w:sz w:val="28"/>
          <w:szCs w:val="28"/>
        </w:rPr>
      </w:pPr>
      <w:r w:rsidRPr="00F3148F">
        <w:rPr>
          <w:sz w:val="28"/>
          <w:szCs w:val="28"/>
        </w:rPr>
        <w:t xml:space="preserve">Căn cứ công văn số 2292/SGDĐT-KHTC ngày 05/9/2018 của Sở Giáo dục &amp; Đào tạo </w:t>
      </w:r>
      <w:r>
        <w:rPr>
          <w:sz w:val="28"/>
          <w:szCs w:val="28"/>
        </w:rPr>
        <w:t xml:space="preserve">Quảng Ninh </w:t>
      </w:r>
      <w:r w:rsidRPr="00F3148F">
        <w:rPr>
          <w:sz w:val="28"/>
          <w:szCs w:val="28"/>
        </w:rPr>
        <w:t xml:space="preserve">“V/v hướng dẫn triển khai thực hiện các khoản thu, chi ngoài ngân sách, chấn chỉnh tình trạng lạm thu trong các cơ sở giáo dục từ năm học 2018-2019”, Phòng Giáo dục &amp; Đào tạo </w:t>
      </w:r>
      <w:r>
        <w:rPr>
          <w:sz w:val="28"/>
          <w:szCs w:val="28"/>
        </w:rPr>
        <w:t>hướng dẫn</w:t>
      </w:r>
      <w:r w:rsidRPr="00F3148F">
        <w:rPr>
          <w:sz w:val="28"/>
          <w:szCs w:val="28"/>
        </w:rPr>
        <w:t xml:space="preserve"> các trường học thực hiện như sau:</w:t>
      </w:r>
    </w:p>
    <w:p w:rsidR="00E42131" w:rsidRPr="00F3148F" w:rsidRDefault="00E42131" w:rsidP="00E42131">
      <w:pPr>
        <w:spacing w:before="120"/>
        <w:ind w:firstLine="720"/>
        <w:jc w:val="both"/>
        <w:rPr>
          <w:sz w:val="28"/>
          <w:szCs w:val="28"/>
        </w:rPr>
      </w:pPr>
      <w:r w:rsidRPr="00F3148F">
        <w:rPr>
          <w:b/>
          <w:sz w:val="28"/>
          <w:szCs w:val="28"/>
        </w:rPr>
        <w:t>1</w:t>
      </w:r>
      <w:r w:rsidRPr="00F3148F">
        <w:rPr>
          <w:sz w:val="28"/>
          <w:szCs w:val="28"/>
        </w:rPr>
        <w:t xml:space="preserve">. Nghiêm túc triển khai, thực hiện đầy đủ các nội dung theo công văn số 2292/SGDĐT-KHTC ngày 05/9/2018 của Sở Giáo dục &amp; Đào tạo V/v hướng dẫn triển khai thực hiện các khoản thu, chi ngoài ngân sách, chấn chỉnh tình trạng lạm thu trong các cơ sở giáo dục từ năm học 2018-2019 </w:t>
      </w:r>
      <w:r w:rsidRPr="00F3148F">
        <w:rPr>
          <w:i/>
          <w:sz w:val="28"/>
          <w:szCs w:val="28"/>
        </w:rPr>
        <w:t>(gửi kèm theo)</w:t>
      </w:r>
      <w:r>
        <w:rPr>
          <w:sz w:val="28"/>
          <w:szCs w:val="28"/>
        </w:rPr>
        <w:t xml:space="preserve">; đặc biệt lưu ý các khoản không được thu trong các cơ sở giáo dục tại mục III (trang 12- công văn </w:t>
      </w:r>
      <w:r w:rsidRPr="00F3148F">
        <w:rPr>
          <w:sz w:val="28"/>
          <w:szCs w:val="28"/>
        </w:rPr>
        <w:t>số 2292/SGDĐT-KHTC ngày 05/9/2018</w:t>
      </w:r>
      <w:r>
        <w:rPr>
          <w:sz w:val="28"/>
          <w:szCs w:val="28"/>
        </w:rPr>
        <w:t xml:space="preserve">). </w:t>
      </w:r>
      <w:r w:rsidRPr="00F3148F">
        <w:rPr>
          <w:sz w:val="28"/>
          <w:szCs w:val="28"/>
        </w:rPr>
        <w:t>Niêm yết và phổ biến công khai văn bản hướng dẫn thu, chi tại bảng thông tin, wesite của nhà trường đến toàn thể cán bộ, giáo viên, học sinh, cha mẹ học sinh trong nhà trường.</w:t>
      </w:r>
    </w:p>
    <w:p w:rsidR="00E42131" w:rsidRPr="00F3148F" w:rsidRDefault="00E42131" w:rsidP="00E42131">
      <w:pPr>
        <w:spacing w:before="120"/>
        <w:ind w:firstLine="720"/>
        <w:jc w:val="both"/>
        <w:rPr>
          <w:sz w:val="28"/>
          <w:szCs w:val="28"/>
        </w:rPr>
      </w:pPr>
      <w:r w:rsidRPr="00F3148F">
        <w:rPr>
          <w:b/>
          <w:sz w:val="28"/>
          <w:szCs w:val="28"/>
        </w:rPr>
        <w:t>2</w:t>
      </w:r>
      <w:r w:rsidRPr="00F3148F">
        <w:rPr>
          <w:sz w:val="28"/>
          <w:szCs w:val="28"/>
        </w:rPr>
        <w:t xml:space="preserve">. </w:t>
      </w:r>
      <w:r>
        <w:rPr>
          <w:sz w:val="28"/>
          <w:szCs w:val="28"/>
        </w:rPr>
        <w:t>Q</w:t>
      </w:r>
      <w:r w:rsidRPr="00F3148F">
        <w:rPr>
          <w:sz w:val="28"/>
          <w:szCs w:val="28"/>
        </w:rPr>
        <w:t xml:space="preserve">uy trình và thời gian </w:t>
      </w:r>
      <w:r>
        <w:rPr>
          <w:sz w:val="28"/>
          <w:szCs w:val="28"/>
        </w:rPr>
        <w:t xml:space="preserve">triển khai </w:t>
      </w:r>
      <w:r w:rsidRPr="00F3148F">
        <w:rPr>
          <w:sz w:val="28"/>
          <w:szCs w:val="28"/>
        </w:rPr>
        <w:t>thực hiện :</w:t>
      </w:r>
    </w:p>
    <w:p w:rsidR="00E42131" w:rsidRPr="00F3148F" w:rsidRDefault="00E42131" w:rsidP="00E42131">
      <w:pPr>
        <w:spacing w:before="120"/>
        <w:ind w:firstLine="720"/>
        <w:jc w:val="both"/>
        <w:rPr>
          <w:sz w:val="28"/>
          <w:szCs w:val="28"/>
        </w:rPr>
      </w:pPr>
      <w:r w:rsidRPr="00F3148F">
        <w:rPr>
          <w:sz w:val="28"/>
          <w:szCs w:val="28"/>
        </w:rPr>
        <w:t>Yêu cầu các trường phải tuân thủ theo đúng quy trình sau:</w:t>
      </w:r>
    </w:p>
    <w:p w:rsidR="00E42131" w:rsidRPr="00F3148F" w:rsidRDefault="00E42131" w:rsidP="00E42131">
      <w:pPr>
        <w:spacing w:before="120"/>
        <w:ind w:firstLine="720"/>
        <w:jc w:val="both"/>
        <w:rPr>
          <w:sz w:val="28"/>
          <w:szCs w:val="28"/>
        </w:rPr>
      </w:pPr>
      <w:r w:rsidRPr="00F3148F">
        <w:rPr>
          <w:sz w:val="28"/>
          <w:szCs w:val="28"/>
        </w:rPr>
        <w:t>Bước 1: Lập</w:t>
      </w:r>
      <w:r>
        <w:rPr>
          <w:sz w:val="28"/>
          <w:szCs w:val="28"/>
        </w:rPr>
        <w:t xml:space="preserve"> dự thảo</w:t>
      </w:r>
      <w:r w:rsidRPr="00F3148F">
        <w:rPr>
          <w:sz w:val="28"/>
          <w:szCs w:val="28"/>
        </w:rPr>
        <w:t xml:space="preserve"> kế hoạch thực hiện các khoản thu, chi năm học </w:t>
      </w:r>
      <w:r w:rsidRPr="00F3148F">
        <w:rPr>
          <w:b/>
          <w:sz w:val="28"/>
          <w:szCs w:val="28"/>
        </w:rPr>
        <w:t>(hoàn thành trước ngày 11/9/2018)</w:t>
      </w:r>
    </w:p>
    <w:p w:rsidR="00E42131" w:rsidRPr="00F3148F" w:rsidRDefault="00E42131" w:rsidP="00E42131">
      <w:pPr>
        <w:spacing w:before="120"/>
        <w:ind w:firstLine="720"/>
        <w:jc w:val="both"/>
        <w:rPr>
          <w:i/>
          <w:sz w:val="28"/>
          <w:szCs w:val="28"/>
        </w:rPr>
      </w:pPr>
      <w:r w:rsidRPr="00F3148F">
        <w:rPr>
          <w:i/>
          <w:sz w:val="28"/>
          <w:szCs w:val="28"/>
        </w:rPr>
        <w:t>- Lập kế hoạch, dự toán chi (bắt buộc phải cụ thể, chi tiết đến từng nội dung chi).</w:t>
      </w:r>
    </w:p>
    <w:p w:rsidR="00E42131" w:rsidRPr="00F3148F" w:rsidRDefault="00E42131" w:rsidP="00E42131">
      <w:pPr>
        <w:spacing w:before="120"/>
        <w:ind w:firstLine="720"/>
        <w:jc w:val="both"/>
        <w:rPr>
          <w:i/>
          <w:sz w:val="28"/>
          <w:szCs w:val="28"/>
        </w:rPr>
      </w:pPr>
      <w:r w:rsidRPr="00F3148F">
        <w:rPr>
          <w:i/>
          <w:sz w:val="28"/>
          <w:szCs w:val="28"/>
        </w:rPr>
        <w:t>- Xây dựng định mức thu trên cơ sở dự toán chi đã lập để thống nhất với phụ huynh học sinh đảm bảo thu đủ chi.</w:t>
      </w:r>
    </w:p>
    <w:p w:rsidR="00E42131" w:rsidRPr="00F3148F" w:rsidRDefault="00E42131" w:rsidP="00E42131">
      <w:pPr>
        <w:spacing w:before="120"/>
        <w:ind w:firstLine="720"/>
        <w:jc w:val="both"/>
        <w:rPr>
          <w:sz w:val="28"/>
          <w:szCs w:val="28"/>
        </w:rPr>
      </w:pPr>
      <w:r w:rsidRPr="00F3148F">
        <w:rPr>
          <w:sz w:val="28"/>
          <w:szCs w:val="28"/>
        </w:rPr>
        <w:t xml:space="preserve">Bước 2: Triển khai họp toàn thể phụ huynh </w:t>
      </w:r>
      <w:r w:rsidRPr="00F3148F">
        <w:rPr>
          <w:b/>
          <w:sz w:val="28"/>
          <w:szCs w:val="28"/>
        </w:rPr>
        <w:t>(hoàn thành trước ngày 20/9/2018)</w:t>
      </w:r>
    </w:p>
    <w:p w:rsidR="00E42131" w:rsidRPr="00F3148F" w:rsidRDefault="00E42131" w:rsidP="00E42131">
      <w:pPr>
        <w:spacing w:before="120"/>
        <w:ind w:firstLine="720"/>
        <w:jc w:val="both"/>
        <w:rPr>
          <w:sz w:val="28"/>
          <w:szCs w:val="28"/>
        </w:rPr>
      </w:pPr>
      <w:r w:rsidRPr="00F3148F">
        <w:rPr>
          <w:sz w:val="28"/>
          <w:szCs w:val="28"/>
        </w:rPr>
        <w:t>Sau khi có ý kiến của Phòng GD&amp;ĐT về dự thảo kế hoạch thu, chi, nhà trường tiến hành họp phụ huynh toàn trường và thông qua bản dự thảo để phụ huynh bàn bạc thống nhất.</w:t>
      </w:r>
    </w:p>
    <w:p w:rsidR="00E42131" w:rsidRPr="00F3148F" w:rsidRDefault="00E42131" w:rsidP="00E42131">
      <w:pPr>
        <w:spacing w:before="120"/>
        <w:ind w:firstLine="720"/>
        <w:jc w:val="both"/>
        <w:rPr>
          <w:sz w:val="28"/>
          <w:szCs w:val="28"/>
        </w:rPr>
      </w:pPr>
      <w:r w:rsidRPr="00F3148F">
        <w:rPr>
          <w:sz w:val="28"/>
          <w:szCs w:val="28"/>
        </w:rPr>
        <w:t>Biên bản họp phụ huynh phải thể hiện rõ việc thỏa thuận thống nhất từng nội dung, định mức thu-chi (biên bản lưu tại đơn vị, có đầy đủ chữ ký của các thành phần tham dự cuộc họp).</w:t>
      </w:r>
    </w:p>
    <w:p w:rsidR="00E42131" w:rsidRPr="00F3148F" w:rsidRDefault="00E42131" w:rsidP="00E42131">
      <w:pPr>
        <w:spacing w:before="120"/>
        <w:ind w:firstLine="720"/>
        <w:jc w:val="both"/>
        <w:rPr>
          <w:sz w:val="28"/>
          <w:szCs w:val="28"/>
        </w:rPr>
      </w:pPr>
      <w:r w:rsidRPr="00F3148F">
        <w:rPr>
          <w:sz w:val="28"/>
          <w:szCs w:val="28"/>
        </w:rPr>
        <w:lastRenderedPageBreak/>
        <w:t>Bước 3: Trình bản Kế hoạch hoàn thiện để Phòng GD&amp;ĐT phê duyệt (</w:t>
      </w:r>
      <w:r w:rsidRPr="00F3148F">
        <w:rPr>
          <w:b/>
          <w:sz w:val="28"/>
          <w:szCs w:val="28"/>
        </w:rPr>
        <w:t xml:space="preserve">hoàn thành trước ngày 22/9/2018, </w:t>
      </w:r>
      <w:r w:rsidRPr="00F3148F">
        <w:rPr>
          <w:sz w:val="28"/>
          <w:szCs w:val="28"/>
        </w:rPr>
        <w:t xml:space="preserve">nộp về bộ phận kế hoạch tài vụ - đ/c Nguyễn Thị Vân Anh nhận) </w:t>
      </w:r>
    </w:p>
    <w:p w:rsidR="00E42131" w:rsidRPr="00F3148F" w:rsidRDefault="00E42131" w:rsidP="00E42131">
      <w:pPr>
        <w:pStyle w:val="NormalWeb"/>
        <w:shd w:val="clear" w:color="auto" w:fill="FFFFFF"/>
        <w:spacing w:before="120" w:beforeAutospacing="0" w:after="0" w:afterAutospacing="0"/>
        <w:ind w:firstLine="720"/>
        <w:jc w:val="both"/>
        <w:rPr>
          <w:i/>
          <w:sz w:val="28"/>
          <w:szCs w:val="28"/>
        </w:rPr>
      </w:pPr>
      <w:r w:rsidRPr="00F3148F">
        <w:rPr>
          <w:sz w:val="28"/>
          <w:szCs w:val="28"/>
        </w:rPr>
        <w:t xml:space="preserve">Bước 4: Sau khi kế hoạch thực hiện các khoản thu, chi được Phòng GD&amp;ĐT phê duyệt, các trường </w:t>
      </w:r>
      <w:r>
        <w:rPr>
          <w:sz w:val="28"/>
          <w:szCs w:val="28"/>
        </w:rPr>
        <w:t>tiếp tục</w:t>
      </w:r>
      <w:r w:rsidRPr="00F3148F">
        <w:rPr>
          <w:sz w:val="28"/>
          <w:szCs w:val="28"/>
        </w:rPr>
        <w:t xml:space="preserve"> niêm yết công khai </w:t>
      </w:r>
      <w:r>
        <w:rPr>
          <w:sz w:val="28"/>
          <w:szCs w:val="28"/>
        </w:rPr>
        <w:t>và tiến hành</w:t>
      </w:r>
      <w:r w:rsidRPr="00461CEE">
        <w:rPr>
          <w:sz w:val="28"/>
          <w:szCs w:val="28"/>
        </w:rPr>
        <w:t xml:space="preserve"> thu</w:t>
      </w:r>
      <w:r w:rsidRPr="00F3148F">
        <w:rPr>
          <w:sz w:val="28"/>
          <w:szCs w:val="28"/>
        </w:rPr>
        <w:t xml:space="preserve"> </w:t>
      </w:r>
      <w:r w:rsidRPr="00F3148F">
        <w:rPr>
          <w:i/>
          <w:sz w:val="28"/>
          <w:szCs w:val="28"/>
        </w:rPr>
        <w:t>(có biên bản niêm yết lưu tại đơn vị).</w:t>
      </w:r>
    </w:p>
    <w:p w:rsidR="00E42131" w:rsidRPr="00F3148F" w:rsidRDefault="00E42131" w:rsidP="00E42131">
      <w:pPr>
        <w:pStyle w:val="NormalWeb"/>
        <w:shd w:val="clear" w:color="auto" w:fill="FFFFFF"/>
        <w:spacing w:before="120" w:beforeAutospacing="0" w:after="0" w:afterAutospacing="0"/>
        <w:ind w:firstLine="720"/>
        <w:jc w:val="both"/>
        <w:rPr>
          <w:sz w:val="28"/>
          <w:szCs w:val="28"/>
        </w:rPr>
      </w:pPr>
      <w:r w:rsidRPr="00F3148F">
        <w:rPr>
          <w:sz w:val="28"/>
          <w:szCs w:val="28"/>
        </w:rPr>
        <w:t>Trong khi chưa có phê duyệt của Phòng GD&amp;ĐT, các trường</w:t>
      </w:r>
      <w:r>
        <w:rPr>
          <w:sz w:val="28"/>
          <w:szCs w:val="28"/>
        </w:rPr>
        <w:t xml:space="preserve"> thực hiện tạm thu để đảm bảo điều kiện cho việc học tập, sinh hoạt của học sinh.</w:t>
      </w:r>
      <w:r w:rsidRPr="00F3148F">
        <w:rPr>
          <w:sz w:val="28"/>
          <w:szCs w:val="28"/>
        </w:rPr>
        <w:t xml:space="preserve"> </w:t>
      </w:r>
      <w:r>
        <w:rPr>
          <w:sz w:val="28"/>
          <w:szCs w:val="28"/>
        </w:rPr>
        <w:t>T</w:t>
      </w:r>
      <w:r w:rsidRPr="00F3148F">
        <w:rPr>
          <w:sz w:val="28"/>
          <w:szCs w:val="28"/>
        </w:rPr>
        <w:t>uyệt đối không được triển khai bất cứ khoản thu nào ngoài khoản thu theo quy định (học phí, bảo hiểm y tế).</w:t>
      </w:r>
    </w:p>
    <w:p w:rsidR="00E42131" w:rsidRPr="00F3148F" w:rsidRDefault="00E42131" w:rsidP="00E42131">
      <w:pPr>
        <w:spacing w:before="120"/>
        <w:ind w:firstLine="720"/>
        <w:jc w:val="both"/>
        <w:rPr>
          <w:sz w:val="28"/>
          <w:szCs w:val="28"/>
        </w:rPr>
      </w:pPr>
      <w:r w:rsidRPr="00F3148F">
        <w:rPr>
          <w:b/>
          <w:sz w:val="28"/>
          <w:szCs w:val="28"/>
        </w:rPr>
        <w:t>3</w:t>
      </w:r>
      <w:r w:rsidRPr="00F3148F">
        <w:rPr>
          <w:sz w:val="28"/>
          <w:szCs w:val="28"/>
        </w:rPr>
        <w:t>. Để thống nhất trong quá trình thực hiện và tăng cường công tác quản lý các khoản thu, chi ngoài ngân sách năm học 2018-2019, khắc phục tình trạng lạm thu tại các trường học, Phòng Giáo dục &amp; Đào tạo hướng dẫn thêm một số nội dung như sau:</w:t>
      </w:r>
    </w:p>
    <w:p w:rsidR="00E42131" w:rsidRPr="00F3148F" w:rsidRDefault="00E42131" w:rsidP="00E42131">
      <w:pPr>
        <w:spacing w:before="120"/>
        <w:ind w:firstLine="720"/>
        <w:jc w:val="both"/>
        <w:rPr>
          <w:i/>
          <w:sz w:val="28"/>
          <w:szCs w:val="28"/>
        </w:rPr>
      </w:pPr>
      <w:r w:rsidRPr="00F3148F">
        <w:rPr>
          <w:i/>
          <w:sz w:val="28"/>
          <w:szCs w:val="28"/>
        </w:rPr>
        <w:t>3.1. Tiền trông giữ phương tiện tham gia giao thông của học sinh:</w:t>
      </w:r>
    </w:p>
    <w:p w:rsidR="00E42131" w:rsidRPr="00F3148F" w:rsidRDefault="00E42131" w:rsidP="00E42131">
      <w:pPr>
        <w:spacing w:before="120"/>
        <w:ind w:firstLine="720"/>
        <w:jc w:val="both"/>
        <w:rPr>
          <w:sz w:val="28"/>
          <w:szCs w:val="28"/>
        </w:rPr>
      </w:pPr>
      <w:r w:rsidRPr="00F3148F">
        <w:rPr>
          <w:sz w:val="28"/>
          <w:szCs w:val="28"/>
        </w:rPr>
        <w:t>Căn cứ điều kiện thực tế, các trường thống nhất mức thu với cha mẹ học sinh, đảm bảo không vượt quá 12.000/xe/tháng. Vì là hoạt động dịch vụ (quy định tại Quyết định số 353/2017/QĐ-UBND ngày 25/01/2017 của UBND tỉnh Quảng Ninh) nên các đơn vị phải có trách nhiệm kê khai, nộp thuế theo quy định của pháp luật.</w:t>
      </w:r>
    </w:p>
    <w:p w:rsidR="00E42131" w:rsidRPr="00F3148F" w:rsidRDefault="00E42131" w:rsidP="00E42131">
      <w:pPr>
        <w:spacing w:before="120"/>
        <w:ind w:firstLine="720"/>
        <w:jc w:val="both"/>
        <w:rPr>
          <w:i/>
          <w:sz w:val="28"/>
          <w:szCs w:val="28"/>
        </w:rPr>
      </w:pPr>
      <w:r w:rsidRPr="00F3148F">
        <w:rPr>
          <w:i/>
          <w:sz w:val="28"/>
          <w:szCs w:val="28"/>
        </w:rPr>
        <w:t>3.2. Tiền quản lý trông trưa và tổ chức ăn bán trú:</w:t>
      </w:r>
    </w:p>
    <w:p w:rsidR="00E42131" w:rsidRPr="00F3148F" w:rsidRDefault="00E42131" w:rsidP="00E42131">
      <w:pPr>
        <w:spacing w:before="120"/>
        <w:ind w:firstLine="720"/>
        <w:jc w:val="both"/>
        <w:rPr>
          <w:sz w:val="28"/>
          <w:szCs w:val="28"/>
        </w:rPr>
      </w:pPr>
      <w:r w:rsidRPr="00F3148F">
        <w:rPr>
          <w:sz w:val="28"/>
          <w:szCs w:val="28"/>
        </w:rPr>
        <w:t>Mức thu không vượt quá 120.000 đồng/tháng/học sinh: được dùng để chi trả bồi dưỡng giáo viên trực tiếp trông trưa, chi cho cán bộ quản lý, người thu tiền, kế toán, y tế và chỉ thực hiện áp dụng đối với khối tiểu học, không áp dụng cho khối mầm non.</w:t>
      </w:r>
    </w:p>
    <w:p w:rsidR="00E42131" w:rsidRPr="00F3148F" w:rsidRDefault="00E42131" w:rsidP="00E42131">
      <w:pPr>
        <w:spacing w:before="120"/>
        <w:ind w:firstLine="720"/>
        <w:jc w:val="both"/>
        <w:rPr>
          <w:i/>
          <w:sz w:val="28"/>
          <w:szCs w:val="28"/>
        </w:rPr>
      </w:pPr>
      <w:r w:rsidRPr="00F3148F">
        <w:rPr>
          <w:i/>
          <w:sz w:val="28"/>
          <w:szCs w:val="28"/>
        </w:rPr>
        <w:t>(Số giờ chi bồi dưỡng cho các đối tượng trên tùy thuộc vào số học sinh thực tế ăn bán trú và khối lượng công việc thực hiện tại các đơn vị trường học. Các định mức chi trả tiền thuê người nấu ăn và bồi dưỡng cán bộ quản lý, giáo viên, nhân viên phải được quy định cụ thể, chi tiết trong quy chế chi tiêu nội bộ của đơn vị)</w:t>
      </w:r>
    </w:p>
    <w:p w:rsidR="00E42131" w:rsidRPr="00F3148F" w:rsidRDefault="00E42131" w:rsidP="00E42131">
      <w:pPr>
        <w:spacing w:before="120"/>
        <w:ind w:firstLine="720"/>
        <w:jc w:val="both"/>
        <w:rPr>
          <w:i/>
          <w:sz w:val="28"/>
          <w:szCs w:val="28"/>
        </w:rPr>
      </w:pPr>
      <w:r w:rsidRPr="00F3148F">
        <w:rPr>
          <w:i/>
          <w:sz w:val="28"/>
          <w:szCs w:val="28"/>
        </w:rPr>
        <w:t>3.3. Tiền nước uống tinh khiết:</w:t>
      </w:r>
    </w:p>
    <w:p w:rsidR="00E42131" w:rsidRPr="00F3148F" w:rsidRDefault="00E42131" w:rsidP="00E42131">
      <w:pPr>
        <w:spacing w:before="120"/>
        <w:ind w:firstLine="720"/>
        <w:jc w:val="both"/>
        <w:rPr>
          <w:sz w:val="28"/>
          <w:szCs w:val="28"/>
        </w:rPr>
      </w:pPr>
      <w:r w:rsidRPr="00F3148F">
        <w:rPr>
          <w:sz w:val="28"/>
          <w:szCs w:val="28"/>
        </w:rPr>
        <w:t>Đối với những trường chưa được lắp hệ thống lọc nước, thu không quá 7.000đ/HS/tháng (đối với các trường học 01 buổi/ngày, cụ thể khối THCS), những trường học 02 buổi/ngày mức thu không vượt quá 10.000đ/HS/tháng.</w:t>
      </w:r>
    </w:p>
    <w:p w:rsidR="00E42131" w:rsidRPr="00F3148F" w:rsidRDefault="00E42131" w:rsidP="00E42131">
      <w:pPr>
        <w:spacing w:before="120"/>
        <w:ind w:firstLine="720"/>
        <w:jc w:val="both"/>
        <w:rPr>
          <w:sz w:val="28"/>
          <w:szCs w:val="28"/>
        </w:rPr>
      </w:pPr>
      <w:r w:rsidRPr="00F3148F">
        <w:rPr>
          <w:sz w:val="28"/>
          <w:szCs w:val="28"/>
        </w:rPr>
        <w:t>Đối với những trường đã được lắp hệ thống lọc nước: các trường tính toán các chi phí bao gồm: mức nước tiêu thụ đầu vào, chi phí điện, công quản lý, vận hành, bảo dưỡng, sửa chữa và chi phí quan trắc nước 6 tháng/lần để tính toán cho phù hợp, mức thu không vượt quá 5.000đ/HS/tháng.</w:t>
      </w:r>
    </w:p>
    <w:p w:rsidR="00E42131" w:rsidRPr="00F3148F" w:rsidRDefault="00E42131" w:rsidP="00E42131">
      <w:pPr>
        <w:spacing w:before="120"/>
        <w:ind w:firstLine="720"/>
        <w:jc w:val="both"/>
        <w:rPr>
          <w:i/>
          <w:sz w:val="28"/>
          <w:szCs w:val="28"/>
        </w:rPr>
      </w:pPr>
      <w:r w:rsidRPr="00F3148F">
        <w:rPr>
          <w:i/>
          <w:sz w:val="28"/>
          <w:szCs w:val="28"/>
        </w:rPr>
        <w:t>3.4. Thu tiền trông trẻ ngoài giờ đối với các cơ sở giáo dục mầm non:</w:t>
      </w:r>
    </w:p>
    <w:p w:rsidR="00E42131" w:rsidRPr="00F3148F" w:rsidRDefault="00E42131" w:rsidP="00E42131">
      <w:pPr>
        <w:spacing w:before="120"/>
        <w:ind w:firstLine="720"/>
        <w:jc w:val="both"/>
        <w:rPr>
          <w:sz w:val="28"/>
          <w:szCs w:val="28"/>
        </w:rPr>
      </w:pPr>
      <w:r w:rsidRPr="00F3148F">
        <w:rPr>
          <w:sz w:val="28"/>
          <w:szCs w:val="28"/>
        </w:rPr>
        <w:lastRenderedPageBreak/>
        <w:t>Các trường thực hiện theo văn bản hướng dẫn số 2292/SGDĐT-KHTC mục 3.9. Không dùng nguồn chi thường xuyên được ngân sách cấp để chi cho nội dung này.</w:t>
      </w:r>
    </w:p>
    <w:p w:rsidR="00E42131" w:rsidRPr="00F3148F" w:rsidRDefault="00E42131" w:rsidP="00E42131">
      <w:pPr>
        <w:spacing w:before="120"/>
        <w:ind w:firstLine="720"/>
        <w:jc w:val="both"/>
        <w:rPr>
          <w:i/>
          <w:sz w:val="28"/>
          <w:szCs w:val="28"/>
        </w:rPr>
      </w:pPr>
      <w:r w:rsidRPr="00F3148F">
        <w:rPr>
          <w:i/>
          <w:sz w:val="28"/>
          <w:szCs w:val="28"/>
        </w:rPr>
        <w:t>3.5. Các chi phí cho hoạt động vệ sinh chung:</w:t>
      </w:r>
    </w:p>
    <w:p w:rsidR="00E42131" w:rsidRPr="00F3148F" w:rsidRDefault="00E42131" w:rsidP="00E42131">
      <w:pPr>
        <w:spacing w:before="120"/>
        <w:ind w:firstLine="720"/>
        <w:jc w:val="both"/>
        <w:rPr>
          <w:sz w:val="28"/>
          <w:szCs w:val="28"/>
        </w:rPr>
      </w:pPr>
      <w:r>
        <w:rPr>
          <w:sz w:val="28"/>
          <w:szCs w:val="28"/>
        </w:rPr>
        <w:t xml:space="preserve">Tại mục 3.12 (trang 12- công văn </w:t>
      </w:r>
      <w:r w:rsidRPr="00F3148F">
        <w:rPr>
          <w:sz w:val="28"/>
          <w:szCs w:val="28"/>
        </w:rPr>
        <w:t>số 2292/SGDĐT-KHTC ngày 05/9/2018</w:t>
      </w:r>
      <w:r>
        <w:rPr>
          <w:sz w:val="28"/>
          <w:szCs w:val="28"/>
        </w:rPr>
        <w:t>), Phòng GD&amp;ĐT lưu ý đối với c</w:t>
      </w:r>
      <w:r w:rsidRPr="00F3148F">
        <w:rPr>
          <w:sz w:val="28"/>
          <w:szCs w:val="28"/>
        </w:rPr>
        <w:t xml:space="preserve">ác trường mầm non, tiểu học không được thực hiện thu tiền lao công phục vụ vệ sinh chung do nguồn chi này đã được ngân sách nhà nước đảm bảo cấp đủ từ dự toán cấp đầu năm 2018. </w:t>
      </w:r>
    </w:p>
    <w:p w:rsidR="00E42131" w:rsidRPr="00F3148F" w:rsidRDefault="00E42131" w:rsidP="00E42131">
      <w:pPr>
        <w:spacing w:before="120"/>
        <w:ind w:firstLine="720"/>
        <w:jc w:val="both"/>
        <w:rPr>
          <w:i/>
          <w:sz w:val="28"/>
          <w:szCs w:val="28"/>
        </w:rPr>
      </w:pPr>
      <w:r w:rsidRPr="00F3148F">
        <w:rPr>
          <w:i/>
          <w:sz w:val="28"/>
          <w:szCs w:val="28"/>
        </w:rPr>
        <w:t>3.6. Thu, chi tiền tin học, ngoại ngữ:</w:t>
      </w:r>
    </w:p>
    <w:p w:rsidR="00E42131" w:rsidRDefault="00E42131" w:rsidP="00E42131">
      <w:pPr>
        <w:spacing w:before="120"/>
        <w:ind w:firstLine="720"/>
        <w:jc w:val="both"/>
        <w:rPr>
          <w:sz w:val="28"/>
          <w:szCs w:val="28"/>
        </w:rPr>
      </w:pPr>
      <w:r w:rsidRPr="00F3148F">
        <w:rPr>
          <w:sz w:val="28"/>
          <w:szCs w:val="28"/>
        </w:rPr>
        <w:t>Thực hiện theo đề án đã được Phòng GD&amp;ĐT phê duyệt.</w:t>
      </w:r>
    </w:p>
    <w:p w:rsidR="00E42131" w:rsidRDefault="00E42131" w:rsidP="00E42131">
      <w:pPr>
        <w:spacing w:before="120"/>
        <w:ind w:firstLine="720"/>
        <w:jc w:val="both"/>
        <w:rPr>
          <w:i/>
          <w:sz w:val="28"/>
          <w:szCs w:val="28"/>
        </w:rPr>
      </w:pPr>
      <w:r>
        <w:rPr>
          <w:i/>
          <w:sz w:val="28"/>
          <w:szCs w:val="28"/>
        </w:rPr>
        <w:t>3.7. Đối với các đơn vị cung ứng suất ăn, thực hiện nấu ăn tại bếp ăn nhà trường:</w:t>
      </w:r>
    </w:p>
    <w:p w:rsidR="00E42131" w:rsidRDefault="00E42131" w:rsidP="00E42131">
      <w:pPr>
        <w:spacing w:before="120"/>
        <w:ind w:firstLine="720"/>
        <w:jc w:val="both"/>
        <w:rPr>
          <w:sz w:val="28"/>
          <w:szCs w:val="28"/>
        </w:rPr>
      </w:pPr>
      <w:r w:rsidRPr="00B216A3">
        <w:rPr>
          <w:sz w:val="28"/>
          <w:szCs w:val="28"/>
        </w:rPr>
        <w:t xml:space="preserve">- </w:t>
      </w:r>
      <w:r>
        <w:rPr>
          <w:sz w:val="28"/>
          <w:szCs w:val="28"/>
        </w:rPr>
        <w:t>Các đơn vị</w:t>
      </w:r>
      <w:r w:rsidRPr="00B216A3">
        <w:rPr>
          <w:sz w:val="28"/>
          <w:szCs w:val="28"/>
        </w:rPr>
        <w:t xml:space="preserve"> tổ chức họp với Ban đại diện cha mẹ học sinh</w:t>
      </w:r>
      <w:r>
        <w:rPr>
          <w:sz w:val="28"/>
          <w:szCs w:val="28"/>
        </w:rPr>
        <w:t xml:space="preserve"> để đánh giá giá trị tài sản</w:t>
      </w:r>
      <w:r w:rsidRPr="00B216A3">
        <w:rPr>
          <w:sz w:val="28"/>
          <w:szCs w:val="28"/>
        </w:rPr>
        <w:t xml:space="preserve"> phục vụ bán trú</w:t>
      </w:r>
      <w:r>
        <w:rPr>
          <w:sz w:val="28"/>
          <w:szCs w:val="28"/>
        </w:rPr>
        <w:t xml:space="preserve"> (có biên bản họp); hợp đồng thỏa thuận với công ty, đơn vị cung ứng suất ăn để thuê lại tài sản, số tiền thu được từ việc cho thuê tài sản yêu cầu các trường tính bù trừ trực tiếp vào tiền suất ăn của học sinh.</w:t>
      </w:r>
    </w:p>
    <w:p w:rsidR="00E42131" w:rsidRPr="00B216A3" w:rsidRDefault="00E42131" w:rsidP="00E42131">
      <w:pPr>
        <w:spacing w:before="120"/>
        <w:ind w:firstLine="720"/>
        <w:jc w:val="both"/>
        <w:rPr>
          <w:i/>
          <w:sz w:val="28"/>
          <w:szCs w:val="28"/>
        </w:rPr>
      </w:pPr>
      <w:r>
        <w:rPr>
          <w:sz w:val="28"/>
          <w:szCs w:val="28"/>
        </w:rPr>
        <w:t>- Làm việc với công ty, đơn vị cung ứng suất ăn tiến hành lắp đặt công tơ điện, nước riêng; không được dùng tiền ngân sách để chi trả cho công tác phục vụ chăm sóc bán trú.</w:t>
      </w:r>
    </w:p>
    <w:p w:rsidR="00E42131" w:rsidRPr="00F3148F" w:rsidRDefault="00E42131" w:rsidP="00E42131">
      <w:pPr>
        <w:spacing w:before="120"/>
        <w:ind w:firstLine="720"/>
        <w:jc w:val="both"/>
        <w:rPr>
          <w:rFonts w:ascii="Arial" w:hAnsi="Arial" w:cs="Arial"/>
          <w:sz w:val="28"/>
          <w:szCs w:val="28"/>
        </w:rPr>
      </w:pPr>
      <w:r w:rsidRPr="00F3148F">
        <w:rPr>
          <w:sz w:val="28"/>
          <w:szCs w:val="28"/>
        </w:rPr>
        <w:t>Phòng Giáo dục và Đào tạo yêu cầu hiệu trưởng các trường học trực thuộc tổ chức quán triệt, triển khai thực hiện nghiêm túc các nội dung trên; đồng thời</w:t>
      </w:r>
      <w:r w:rsidRPr="00F546D0">
        <w:rPr>
          <w:sz w:val="28"/>
          <w:szCs w:val="28"/>
        </w:rPr>
        <w:t xml:space="preserve"> chịu trách nhiệm trước Lãnh đạo UBND Thành phố và Phòng GD&amp;ĐT nếu để xảy ra vi phạm trong việc quản lý các khoản thu, chi tại đơn vị. </w:t>
      </w:r>
      <w:r w:rsidRPr="00F3148F">
        <w:rPr>
          <w:sz w:val="28"/>
          <w:szCs w:val="28"/>
        </w:rPr>
        <w:t>Phòng GD&amp;ĐT sẽ có kế hoạch kiểm tra, giám sát việc thực hiện các khoản thu - chi tại các trường học trên địa bàn.</w:t>
      </w:r>
    </w:p>
    <w:p w:rsidR="00E42131" w:rsidRPr="00F3148F" w:rsidRDefault="00E42131" w:rsidP="00E42131">
      <w:pPr>
        <w:spacing w:before="120"/>
        <w:ind w:firstLine="720"/>
        <w:jc w:val="both"/>
        <w:rPr>
          <w:sz w:val="28"/>
          <w:szCs w:val="28"/>
        </w:rPr>
      </w:pPr>
      <w:r w:rsidRPr="00F3148F">
        <w:rPr>
          <w:sz w:val="28"/>
          <w:szCs w:val="28"/>
        </w:rPr>
        <w:t xml:space="preserve">Trong quá trình thực hiện, nếu có vướng mắc đề nghị phản ánh về Phòng Giáo dục &amp; Đào tạo theo số điện thoại </w:t>
      </w:r>
      <w:r>
        <w:rPr>
          <w:sz w:val="28"/>
          <w:szCs w:val="28"/>
        </w:rPr>
        <w:t>0949.777788</w:t>
      </w:r>
      <w:r w:rsidRPr="00F3148F">
        <w:rPr>
          <w:sz w:val="28"/>
          <w:szCs w:val="28"/>
        </w:rPr>
        <w:t xml:space="preserve"> để được hướng dẫn, giải quyết.</w:t>
      </w:r>
    </w:p>
    <w:p w:rsidR="00E42131" w:rsidRPr="00F3148F" w:rsidRDefault="00E42131" w:rsidP="00E42131">
      <w:pPr>
        <w:spacing w:before="120"/>
        <w:ind w:firstLine="720"/>
        <w:jc w:val="both"/>
        <w:rPr>
          <w:sz w:val="28"/>
          <w:szCs w:val="28"/>
        </w:rPr>
      </w:pPr>
      <w:r w:rsidRPr="00F3148F">
        <w:rPr>
          <w:sz w:val="28"/>
          <w:szCs w:val="28"/>
        </w:rPr>
        <w:t>Mọi thông tin phản ánh về tình trạng lạm thu trong các cơ sở giáo dục phản ánh về số điện thoại: Trưởng phòng Giáo dục &amp; Đào tạo 096.630.6333.</w:t>
      </w:r>
    </w:p>
    <w:p w:rsidR="00E42131" w:rsidRPr="00F3148F" w:rsidRDefault="00E42131" w:rsidP="00E42131">
      <w:pPr>
        <w:spacing w:before="60"/>
        <w:ind w:firstLine="720"/>
        <w:jc w:val="both"/>
        <w:rPr>
          <w:sz w:val="20"/>
          <w:szCs w:val="28"/>
        </w:rPr>
      </w:pPr>
    </w:p>
    <w:tbl>
      <w:tblPr>
        <w:tblW w:w="9180" w:type="dxa"/>
        <w:tblInd w:w="108" w:type="dxa"/>
        <w:tblLayout w:type="fixed"/>
        <w:tblLook w:val="0000"/>
      </w:tblPr>
      <w:tblGrid>
        <w:gridCol w:w="4680"/>
        <w:gridCol w:w="563"/>
        <w:gridCol w:w="3937"/>
      </w:tblGrid>
      <w:tr w:rsidR="00E42131" w:rsidRPr="00F3148F" w:rsidTr="00BE7DF3">
        <w:tblPrEx>
          <w:tblCellMar>
            <w:top w:w="0" w:type="dxa"/>
            <w:bottom w:w="0" w:type="dxa"/>
          </w:tblCellMar>
        </w:tblPrEx>
        <w:trPr>
          <w:trHeight w:val="312"/>
        </w:trPr>
        <w:tc>
          <w:tcPr>
            <w:tcW w:w="4680" w:type="dxa"/>
          </w:tcPr>
          <w:p w:rsidR="00E42131" w:rsidRPr="00F3148F" w:rsidRDefault="00E42131" w:rsidP="00BE7DF3">
            <w:pPr>
              <w:keepNext/>
              <w:jc w:val="center"/>
              <w:outlineLvl w:val="0"/>
              <w:rPr>
                <w:b/>
                <w:bCs/>
              </w:rPr>
            </w:pPr>
          </w:p>
        </w:tc>
        <w:tc>
          <w:tcPr>
            <w:tcW w:w="563" w:type="dxa"/>
          </w:tcPr>
          <w:p w:rsidR="00E42131" w:rsidRPr="00F3148F" w:rsidRDefault="00E42131" w:rsidP="00BE7DF3">
            <w:pPr>
              <w:rPr>
                <w:sz w:val="26"/>
                <w:szCs w:val="26"/>
              </w:rPr>
            </w:pPr>
          </w:p>
        </w:tc>
        <w:tc>
          <w:tcPr>
            <w:tcW w:w="3937" w:type="dxa"/>
          </w:tcPr>
          <w:p w:rsidR="00E42131" w:rsidRPr="00F3148F" w:rsidRDefault="00E42131" w:rsidP="00BE7DF3">
            <w:pPr>
              <w:keepNext/>
              <w:jc w:val="center"/>
              <w:outlineLvl w:val="1"/>
              <w:rPr>
                <w:b/>
                <w:bCs/>
                <w:sz w:val="28"/>
                <w:szCs w:val="28"/>
              </w:rPr>
            </w:pPr>
            <w:r w:rsidRPr="00F3148F">
              <w:rPr>
                <w:b/>
                <w:bCs/>
                <w:sz w:val="28"/>
                <w:szCs w:val="28"/>
              </w:rPr>
              <w:t xml:space="preserve">TRƯỞNG PHÒNG </w:t>
            </w:r>
          </w:p>
        </w:tc>
      </w:tr>
      <w:tr w:rsidR="00E42131" w:rsidRPr="00F3148F" w:rsidTr="00BE7DF3">
        <w:tblPrEx>
          <w:tblCellMar>
            <w:top w:w="0" w:type="dxa"/>
            <w:bottom w:w="0" w:type="dxa"/>
          </w:tblCellMar>
        </w:tblPrEx>
        <w:trPr>
          <w:trHeight w:val="288"/>
        </w:trPr>
        <w:tc>
          <w:tcPr>
            <w:tcW w:w="4680" w:type="dxa"/>
          </w:tcPr>
          <w:p w:rsidR="00E42131" w:rsidRPr="00F3148F" w:rsidRDefault="00E42131" w:rsidP="00BE7DF3">
            <w:pPr>
              <w:rPr>
                <w:b/>
                <w:i/>
              </w:rPr>
            </w:pPr>
            <w:r w:rsidRPr="00F3148F">
              <w:rPr>
                <w:b/>
                <w:i/>
              </w:rPr>
              <w:t>Nơi nhận:</w:t>
            </w:r>
          </w:p>
        </w:tc>
        <w:tc>
          <w:tcPr>
            <w:tcW w:w="563" w:type="dxa"/>
          </w:tcPr>
          <w:p w:rsidR="00E42131" w:rsidRPr="00F3148F" w:rsidRDefault="00E42131" w:rsidP="00BE7DF3">
            <w:pPr>
              <w:rPr>
                <w:sz w:val="26"/>
                <w:szCs w:val="26"/>
              </w:rPr>
            </w:pPr>
          </w:p>
        </w:tc>
        <w:tc>
          <w:tcPr>
            <w:tcW w:w="3937" w:type="dxa"/>
          </w:tcPr>
          <w:p w:rsidR="00E42131" w:rsidRPr="00F3148F" w:rsidRDefault="00E42131" w:rsidP="00BE7DF3">
            <w:pPr>
              <w:keepNext/>
              <w:jc w:val="center"/>
              <w:outlineLvl w:val="1"/>
              <w:rPr>
                <w:b/>
                <w:bCs/>
              </w:rPr>
            </w:pPr>
          </w:p>
        </w:tc>
      </w:tr>
      <w:tr w:rsidR="00E42131" w:rsidRPr="00F3148F" w:rsidTr="00BE7DF3">
        <w:tblPrEx>
          <w:tblCellMar>
            <w:top w:w="0" w:type="dxa"/>
            <w:bottom w:w="0" w:type="dxa"/>
          </w:tblCellMar>
        </w:tblPrEx>
        <w:trPr>
          <w:trHeight w:val="1713"/>
        </w:trPr>
        <w:tc>
          <w:tcPr>
            <w:tcW w:w="4680" w:type="dxa"/>
          </w:tcPr>
          <w:p w:rsidR="00E42131" w:rsidRDefault="00E42131" w:rsidP="00BE7DF3">
            <w:pPr>
              <w:jc w:val="both"/>
              <w:rPr>
                <w:sz w:val="22"/>
                <w:szCs w:val="20"/>
              </w:rPr>
            </w:pPr>
            <w:r w:rsidRPr="00F3148F">
              <w:rPr>
                <w:sz w:val="22"/>
                <w:szCs w:val="20"/>
              </w:rPr>
              <w:t>- UBND Thành phố (b/c);</w:t>
            </w:r>
          </w:p>
          <w:p w:rsidR="00E42131" w:rsidRPr="00F3148F" w:rsidRDefault="00E42131" w:rsidP="00BE7DF3">
            <w:pPr>
              <w:jc w:val="both"/>
              <w:rPr>
                <w:sz w:val="22"/>
                <w:szCs w:val="20"/>
              </w:rPr>
            </w:pPr>
            <w:r w:rsidRPr="00F3148F">
              <w:rPr>
                <w:sz w:val="22"/>
                <w:szCs w:val="22"/>
              </w:rPr>
              <w:t>- Như kính gửi (t/h);</w:t>
            </w:r>
          </w:p>
          <w:p w:rsidR="00E42131" w:rsidRPr="00F3148F" w:rsidRDefault="00E42131" w:rsidP="00BE7DF3">
            <w:pPr>
              <w:jc w:val="both"/>
              <w:rPr>
                <w:sz w:val="22"/>
                <w:szCs w:val="20"/>
              </w:rPr>
            </w:pPr>
            <w:r w:rsidRPr="00F3148F">
              <w:rPr>
                <w:sz w:val="22"/>
                <w:szCs w:val="20"/>
              </w:rPr>
              <w:t xml:space="preserve">- Lãnh đạo Phòng GD&amp;ĐT (c/đ);   </w:t>
            </w:r>
          </w:p>
          <w:p w:rsidR="00E42131" w:rsidRPr="00F3148F" w:rsidRDefault="00E42131" w:rsidP="00BE7DF3">
            <w:pPr>
              <w:jc w:val="both"/>
              <w:rPr>
                <w:sz w:val="22"/>
                <w:szCs w:val="20"/>
              </w:rPr>
            </w:pPr>
            <w:r w:rsidRPr="00F3148F">
              <w:rPr>
                <w:sz w:val="22"/>
                <w:szCs w:val="20"/>
              </w:rPr>
              <w:t>- UBND các xã, phường (p/h giám sát);</w:t>
            </w:r>
          </w:p>
          <w:p w:rsidR="00E42131" w:rsidRPr="00F3148F" w:rsidRDefault="00E42131" w:rsidP="00BE7DF3">
            <w:pPr>
              <w:jc w:val="both"/>
              <w:rPr>
                <w:sz w:val="22"/>
                <w:szCs w:val="20"/>
              </w:rPr>
            </w:pPr>
            <w:r w:rsidRPr="00F3148F">
              <w:rPr>
                <w:sz w:val="22"/>
                <w:szCs w:val="20"/>
              </w:rPr>
              <w:t>- Trung tâm TT&amp;VH TP (p/h t.truyền);</w:t>
            </w:r>
          </w:p>
          <w:p w:rsidR="00E42131" w:rsidRPr="00F3148F" w:rsidRDefault="00E42131" w:rsidP="00BE7DF3">
            <w:pPr>
              <w:jc w:val="both"/>
              <w:rPr>
                <w:sz w:val="22"/>
                <w:szCs w:val="22"/>
              </w:rPr>
            </w:pPr>
            <w:r w:rsidRPr="00F3148F">
              <w:rPr>
                <w:sz w:val="22"/>
                <w:szCs w:val="20"/>
              </w:rPr>
              <w:t>- Cổng thông tin điện tử ngành;</w:t>
            </w:r>
          </w:p>
          <w:p w:rsidR="00E42131" w:rsidRPr="00F3148F" w:rsidRDefault="00E42131" w:rsidP="00BE7DF3">
            <w:pPr>
              <w:rPr>
                <w:i/>
                <w:iCs/>
              </w:rPr>
            </w:pPr>
            <w:r w:rsidRPr="00F3148F">
              <w:rPr>
                <w:sz w:val="22"/>
                <w:szCs w:val="22"/>
              </w:rPr>
              <w:t>- Lưu: VT, TH, TC-KH, CM.</w:t>
            </w:r>
          </w:p>
        </w:tc>
        <w:tc>
          <w:tcPr>
            <w:tcW w:w="563" w:type="dxa"/>
          </w:tcPr>
          <w:p w:rsidR="00E42131" w:rsidRPr="00F3148F" w:rsidRDefault="00E42131" w:rsidP="00BE7DF3">
            <w:pPr>
              <w:rPr>
                <w:sz w:val="26"/>
                <w:szCs w:val="26"/>
              </w:rPr>
            </w:pPr>
          </w:p>
        </w:tc>
        <w:tc>
          <w:tcPr>
            <w:tcW w:w="3937" w:type="dxa"/>
          </w:tcPr>
          <w:p w:rsidR="00E42131" w:rsidRPr="00F3148F" w:rsidRDefault="00E42131" w:rsidP="00BE7DF3">
            <w:pPr>
              <w:keepNext/>
              <w:jc w:val="right"/>
              <w:outlineLvl w:val="2"/>
              <w:rPr>
                <w:i/>
                <w:iCs/>
              </w:rPr>
            </w:pPr>
          </w:p>
          <w:p w:rsidR="00E42131" w:rsidRPr="00F3148F" w:rsidRDefault="00E42131" w:rsidP="00BE7DF3">
            <w:pPr>
              <w:jc w:val="center"/>
              <w:rPr>
                <w:sz w:val="26"/>
                <w:szCs w:val="26"/>
              </w:rPr>
            </w:pPr>
            <w:r>
              <w:rPr>
                <w:i/>
                <w:sz w:val="26"/>
                <w:szCs w:val="26"/>
              </w:rPr>
              <w:t>(Đã ký)</w:t>
            </w:r>
            <w:r w:rsidRPr="00F3148F">
              <w:rPr>
                <w:sz w:val="26"/>
                <w:szCs w:val="26"/>
              </w:rPr>
              <w:t xml:space="preserve"> </w:t>
            </w:r>
          </w:p>
          <w:p w:rsidR="00E42131" w:rsidRPr="00F3148F" w:rsidRDefault="00E42131" w:rsidP="00BE7DF3">
            <w:pPr>
              <w:jc w:val="center"/>
              <w:rPr>
                <w:i/>
                <w:sz w:val="26"/>
                <w:szCs w:val="26"/>
              </w:rPr>
            </w:pPr>
            <w:r w:rsidRPr="00F3148F">
              <w:rPr>
                <w:i/>
                <w:sz w:val="26"/>
                <w:szCs w:val="26"/>
              </w:rPr>
              <w:t xml:space="preserve"> </w:t>
            </w:r>
          </w:p>
          <w:p w:rsidR="00E42131" w:rsidRPr="00F3148F" w:rsidRDefault="00E42131" w:rsidP="00BE7DF3">
            <w:pPr>
              <w:rPr>
                <w:sz w:val="26"/>
                <w:szCs w:val="26"/>
              </w:rPr>
            </w:pPr>
          </w:p>
          <w:p w:rsidR="00E42131" w:rsidRPr="00F3148F" w:rsidRDefault="00E42131" w:rsidP="00BE7DF3">
            <w:pPr>
              <w:rPr>
                <w:sz w:val="26"/>
                <w:szCs w:val="26"/>
              </w:rPr>
            </w:pPr>
          </w:p>
          <w:p w:rsidR="00E42131" w:rsidRPr="00F3148F" w:rsidRDefault="00E42131" w:rsidP="00BE7DF3">
            <w:pPr>
              <w:keepNext/>
              <w:jc w:val="center"/>
              <w:outlineLvl w:val="2"/>
              <w:rPr>
                <w:b/>
                <w:bCs/>
                <w:sz w:val="28"/>
                <w:szCs w:val="28"/>
              </w:rPr>
            </w:pPr>
            <w:r w:rsidRPr="00F3148F">
              <w:rPr>
                <w:b/>
                <w:bCs/>
                <w:sz w:val="28"/>
                <w:szCs w:val="28"/>
              </w:rPr>
              <w:t>Phan Hồng Anh</w:t>
            </w:r>
          </w:p>
        </w:tc>
      </w:tr>
    </w:tbl>
    <w:p w:rsidR="00E42131" w:rsidRPr="00F3148F" w:rsidRDefault="00E42131" w:rsidP="00E42131">
      <w:pPr>
        <w:spacing w:before="60"/>
        <w:ind w:firstLine="720"/>
        <w:jc w:val="both"/>
      </w:pPr>
    </w:p>
    <w:p w:rsidR="003A6FB0" w:rsidRDefault="003A6FB0"/>
    <w:sectPr w:rsidR="003A6FB0" w:rsidSect="009C07DE">
      <w:footerReference w:type="even" r:id="rId4"/>
      <w:footerReference w:type="default" r:id="rId5"/>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B5" w:rsidRDefault="00E42131" w:rsidP="00831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0B5" w:rsidRDefault="00E42131" w:rsidP="00110B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0B5" w:rsidRDefault="00E42131" w:rsidP="00831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560B5" w:rsidRDefault="00E42131" w:rsidP="00110B9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E42131"/>
    <w:rsid w:val="003A6FB0"/>
    <w:rsid w:val="00E42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31"/>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2131"/>
    <w:pPr>
      <w:tabs>
        <w:tab w:val="center" w:pos="4320"/>
        <w:tab w:val="right" w:pos="8640"/>
      </w:tabs>
    </w:pPr>
  </w:style>
  <w:style w:type="character" w:customStyle="1" w:styleId="FooterChar">
    <w:name w:val="Footer Char"/>
    <w:basedOn w:val="DefaultParagraphFont"/>
    <w:link w:val="Footer"/>
    <w:rsid w:val="00E42131"/>
    <w:rPr>
      <w:rFonts w:ascii="Times New Roman" w:eastAsia="Batang" w:hAnsi="Times New Roman" w:cs="Times New Roman"/>
      <w:sz w:val="24"/>
      <w:szCs w:val="24"/>
      <w:lang w:eastAsia="ko-KR"/>
    </w:rPr>
  </w:style>
  <w:style w:type="character" w:styleId="PageNumber">
    <w:name w:val="page number"/>
    <w:basedOn w:val="DefaultParagraphFont"/>
    <w:rsid w:val="00E42131"/>
  </w:style>
  <w:style w:type="paragraph" w:styleId="NormalWeb">
    <w:name w:val="Normal (Web)"/>
    <w:basedOn w:val="Normal"/>
    <w:rsid w:val="00E42131"/>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2018-11-22T02:06:00Z</dcterms:created>
  <dcterms:modified xsi:type="dcterms:W3CDTF">2018-11-22T02:07:00Z</dcterms:modified>
</cp:coreProperties>
</file>