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09" w:rsidRDefault="00635309" w:rsidP="00635309">
      <w:pPr>
        <w:pStyle w:val="NormalWeb"/>
        <w:shd w:val="clear" w:color="auto" w:fill="FFFFFF"/>
        <w:spacing w:before="0" w:beforeAutospacing="0" w:after="0" w:afterAutospacing="0" w:line="272" w:lineRule="atLeast"/>
        <w:jc w:val="both"/>
        <w:rPr>
          <w:rFonts w:ascii="Arial" w:hAnsi="Arial" w:cs="Arial"/>
          <w:color w:val="333333"/>
          <w:sz w:val="16"/>
          <w:szCs w:val="16"/>
        </w:rPr>
      </w:pPr>
    </w:p>
    <w:tbl>
      <w:tblPr>
        <w:tblW w:w="10348" w:type="dxa"/>
        <w:tblInd w:w="-601" w:type="dxa"/>
        <w:tblLook w:val="01E0"/>
      </w:tblPr>
      <w:tblGrid>
        <w:gridCol w:w="4414"/>
        <w:gridCol w:w="5934"/>
      </w:tblGrid>
      <w:tr w:rsidR="00BF5667" w:rsidRPr="00191A87" w:rsidTr="00094750">
        <w:trPr>
          <w:trHeight w:val="1263"/>
        </w:trPr>
        <w:tc>
          <w:tcPr>
            <w:tcW w:w="4414" w:type="dxa"/>
          </w:tcPr>
          <w:p w:rsidR="00BF5667" w:rsidRPr="00191A87" w:rsidRDefault="00BF5667" w:rsidP="00094750">
            <w:pPr>
              <w:widowControl w:val="0"/>
              <w:spacing w:before="120"/>
              <w:rPr>
                <w:bCs/>
                <w:color w:val="000000"/>
                <w:sz w:val="24"/>
                <w:szCs w:val="24"/>
              </w:rPr>
            </w:pPr>
            <w:r>
              <w:rPr>
                <w:color w:val="000000"/>
                <w:sz w:val="24"/>
                <w:szCs w:val="24"/>
              </w:rPr>
              <w:t xml:space="preserve">      </w:t>
            </w:r>
            <w:r w:rsidRPr="00191A87">
              <w:rPr>
                <w:color w:val="000000"/>
                <w:sz w:val="24"/>
                <w:szCs w:val="24"/>
              </w:rPr>
              <w:t xml:space="preserve">PHÒNG </w:t>
            </w:r>
            <w:r w:rsidRPr="00191A87">
              <w:rPr>
                <w:bCs/>
                <w:color w:val="000000"/>
                <w:sz w:val="24"/>
                <w:szCs w:val="24"/>
              </w:rPr>
              <w:t>GD&amp;ĐT UÔNG BÍ</w:t>
            </w:r>
          </w:p>
          <w:p w:rsidR="00BF5667" w:rsidRPr="00611C5F" w:rsidRDefault="00611C5F" w:rsidP="00094750">
            <w:pPr>
              <w:widowControl w:val="0"/>
              <w:spacing w:before="120"/>
              <w:rPr>
                <w:b/>
                <w:bCs/>
                <w:color w:val="000000"/>
                <w:sz w:val="24"/>
                <w:szCs w:val="24"/>
              </w:rPr>
            </w:pPr>
            <w:r w:rsidRPr="00611C5F">
              <w:rPr>
                <w:b/>
                <w:bCs/>
                <w:color w:val="000000"/>
                <w:sz w:val="24"/>
                <w:szCs w:val="24"/>
              </w:rPr>
              <w:t xml:space="preserve">    </w:t>
            </w:r>
            <w:r w:rsidR="00BF5667" w:rsidRPr="00611C5F">
              <w:rPr>
                <w:b/>
                <w:bCs/>
                <w:color w:val="000000"/>
                <w:sz w:val="24"/>
                <w:szCs w:val="24"/>
              </w:rPr>
              <w:t>TRƯỜNG THCS NGUYỄN TRÃI</w:t>
            </w:r>
          </w:p>
          <w:p w:rsidR="00BF5667" w:rsidRPr="00191A87" w:rsidRDefault="00BF5667" w:rsidP="00094750">
            <w:pPr>
              <w:widowControl w:val="0"/>
              <w:spacing w:before="120"/>
              <w:rPr>
                <w:color w:val="000000"/>
                <w:sz w:val="24"/>
                <w:szCs w:val="24"/>
                <w:lang w:val="nl-NL"/>
              </w:rPr>
            </w:pPr>
            <w:r>
              <w:rPr>
                <w:color w:val="000000"/>
                <w:sz w:val="24"/>
                <w:szCs w:val="24"/>
                <w:lang w:val="nl-NL"/>
              </w:rPr>
              <w:t xml:space="preserve">             </w:t>
            </w:r>
            <w:r w:rsidRPr="00191A87">
              <w:rPr>
                <w:color w:val="000000"/>
                <w:sz w:val="24"/>
                <w:szCs w:val="24"/>
                <w:lang w:val="nl-NL"/>
              </w:rPr>
              <w:t xml:space="preserve">Số: </w:t>
            </w:r>
            <w:r w:rsidR="00CA64AB">
              <w:rPr>
                <w:color w:val="000000"/>
                <w:sz w:val="24"/>
                <w:szCs w:val="24"/>
                <w:lang w:val="nl-NL"/>
              </w:rPr>
              <w:t>03</w:t>
            </w:r>
            <w:r>
              <w:rPr>
                <w:color w:val="000000"/>
                <w:sz w:val="24"/>
                <w:szCs w:val="24"/>
                <w:lang w:val="nl-NL"/>
              </w:rPr>
              <w:t>/KH- THCSNT</w:t>
            </w:r>
          </w:p>
          <w:p w:rsidR="00BF5667" w:rsidRPr="00191A87" w:rsidRDefault="00BF5667" w:rsidP="00094750">
            <w:pPr>
              <w:widowControl w:val="0"/>
              <w:spacing w:before="120"/>
              <w:rPr>
                <w:color w:val="000000"/>
                <w:sz w:val="24"/>
                <w:szCs w:val="24"/>
                <w:lang w:val="nl-NL"/>
              </w:rPr>
            </w:pPr>
          </w:p>
        </w:tc>
        <w:tc>
          <w:tcPr>
            <w:tcW w:w="5934" w:type="dxa"/>
          </w:tcPr>
          <w:p w:rsidR="00BF5667" w:rsidRPr="00191A87" w:rsidRDefault="00BF5667" w:rsidP="00094750">
            <w:pPr>
              <w:widowControl w:val="0"/>
              <w:spacing w:before="120"/>
              <w:ind w:left="32"/>
              <w:rPr>
                <w:b/>
                <w:bCs/>
                <w:color w:val="000000"/>
                <w:sz w:val="24"/>
                <w:szCs w:val="24"/>
                <w:lang w:val="nl-NL"/>
              </w:rPr>
            </w:pPr>
            <w:r w:rsidRPr="00191A87">
              <w:rPr>
                <w:b/>
                <w:bCs/>
                <w:color w:val="000000"/>
                <w:sz w:val="24"/>
                <w:szCs w:val="24"/>
                <w:lang w:val="nl-NL"/>
              </w:rPr>
              <w:t>CỘNG HOÀ XÃ HỘI CHỦ NGHĨA VIỆT NAM</w:t>
            </w:r>
          </w:p>
          <w:p w:rsidR="00BF5667" w:rsidRPr="00191A87" w:rsidRDefault="00611C5F" w:rsidP="00094750">
            <w:pPr>
              <w:widowControl w:val="0"/>
              <w:spacing w:before="120"/>
              <w:ind w:left="32"/>
              <w:rPr>
                <w:color w:val="000000"/>
                <w:sz w:val="24"/>
                <w:szCs w:val="24"/>
                <w:lang w:val="nl-NL"/>
              </w:rPr>
            </w:pPr>
            <w:r>
              <w:rPr>
                <w:b/>
                <w:bCs/>
                <w:color w:val="000000"/>
                <w:sz w:val="24"/>
                <w:szCs w:val="24"/>
                <w:lang w:val="nl-NL"/>
              </w:rPr>
              <w:t xml:space="preserve">      </w:t>
            </w:r>
            <w:r w:rsidR="00BF5667">
              <w:rPr>
                <w:b/>
                <w:bCs/>
                <w:color w:val="000000"/>
                <w:sz w:val="24"/>
                <w:szCs w:val="24"/>
                <w:lang w:val="nl-NL"/>
              </w:rPr>
              <w:t xml:space="preserve"> </w:t>
            </w:r>
            <w:r w:rsidR="00BF5667" w:rsidRPr="00191A87">
              <w:rPr>
                <w:b/>
                <w:bCs/>
                <w:color w:val="000000"/>
                <w:sz w:val="24"/>
                <w:szCs w:val="24"/>
                <w:lang w:val="nl-NL"/>
              </w:rPr>
              <w:t>Độc lập - Tự do - Hạnh phúc</w:t>
            </w:r>
          </w:p>
          <w:p w:rsidR="00BF5667" w:rsidRPr="00191A87" w:rsidRDefault="00BF5667" w:rsidP="00094750">
            <w:pPr>
              <w:widowControl w:val="0"/>
              <w:spacing w:before="120"/>
              <w:rPr>
                <w:color w:val="000000"/>
                <w:sz w:val="24"/>
                <w:szCs w:val="24"/>
                <w:lang w:val="nl-NL"/>
              </w:rPr>
            </w:pPr>
            <w:r>
              <w:rPr>
                <w:noProof/>
                <w:color w:val="000000"/>
                <w:sz w:val="24"/>
                <w:szCs w:val="24"/>
              </w:rPr>
              <w:pict>
                <v:line id="_x0000_s1026" style="position:absolute;left:0;text-align:left;z-index:251660288" from="105.25pt,2.4pt" to="216.4pt,2.4pt"/>
              </w:pict>
            </w:r>
            <w:r w:rsidRPr="00191A87">
              <w:rPr>
                <w:i/>
                <w:iCs/>
                <w:color w:val="000000"/>
                <w:sz w:val="24"/>
                <w:szCs w:val="24"/>
                <w:lang w:val="nl-NL"/>
              </w:rPr>
              <w:t xml:space="preserve">  </w:t>
            </w:r>
            <w:r w:rsidR="005C337D">
              <w:rPr>
                <w:i/>
                <w:iCs/>
                <w:color w:val="000000"/>
                <w:sz w:val="24"/>
                <w:szCs w:val="24"/>
                <w:lang w:val="nl-NL"/>
              </w:rPr>
              <w:t xml:space="preserve">                     </w:t>
            </w:r>
            <w:r>
              <w:rPr>
                <w:i/>
                <w:iCs/>
                <w:color w:val="000000"/>
                <w:sz w:val="24"/>
                <w:szCs w:val="24"/>
                <w:lang w:val="nl-NL"/>
              </w:rPr>
              <w:t xml:space="preserve"> </w:t>
            </w:r>
            <w:r w:rsidRPr="00191A87">
              <w:rPr>
                <w:i/>
                <w:iCs/>
                <w:color w:val="000000"/>
                <w:sz w:val="24"/>
                <w:szCs w:val="24"/>
                <w:lang w:val="nl-NL"/>
              </w:rPr>
              <w:t>Uông Bí</w:t>
            </w:r>
            <w:r>
              <w:rPr>
                <w:i/>
                <w:iCs/>
                <w:color w:val="000000"/>
                <w:sz w:val="24"/>
                <w:szCs w:val="24"/>
                <w:lang w:val="nl-NL"/>
              </w:rPr>
              <w:t xml:space="preserve">, ngày </w:t>
            </w:r>
            <w:bookmarkStart w:id="0" w:name="_GoBack"/>
            <w:bookmarkEnd w:id="0"/>
            <w:r w:rsidR="00CA64AB">
              <w:rPr>
                <w:i/>
                <w:iCs/>
                <w:color w:val="000000"/>
                <w:sz w:val="24"/>
                <w:szCs w:val="24"/>
                <w:lang w:val="nl-NL"/>
              </w:rPr>
              <w:t>01</w:t>
            </w:r>
            <w:r w:rsidRPr="00191A87">
              <w:rPr>
                <w:i/>
                <w:iCs/>
                <w:color w:val="000000"/>
                <w:sz w:val="24"/>
                <w:szCs w:val="24"/>
                <w:lang w:val="nl-NL"/>
              </w:rPr>
              <w:t xml:space="preserve"> tháng 9 năm 201</w:t>
            </w:r>
            <w:r>
              <w:rPr>
                <w:i/>
                <w:iCs/>
                <w:color w:val="000000"/>
                <w:sz w:val="24"/>
                <w:szCs w:val="24"/>
                <w:lang w:val="nl-NL"/>
              </w:rPr>
              <w:t>8</w:t>
            </w:r>
          </w:p>
        </w:tc>
      </w:tr>
    </w:tbl>
    <w:p w:rsidR="00635309" w:rsidRDefault="00635309" w:rsidP="00635309">
      <w:pPr>
        <w:pStyle w:val="NormalWeb"/>
        <w:shd w:val="clear" w:color="auto" w:fill="FFFFFF"/>
        <w:spacing w:before="0" w:beforeAutospacing="0" w:after="0" w:afterAutospacing="0" w:line="272" w:lineRule="atLeast"/>
        <w:jc w:val="both"/>
        <w:rPr>
          <w:rFonts w:ascii="Arial" w:hAnsi="Arial" w:cs="Arial"/>
          <w:color w:val="333333"/>
          <w:sz w:val="16"/>
          <w:szCs w:val="16"/>
        </w:rPr>
      </w:pPr>
    </w:p>
    <w:p w:rsidR="00635309" w:rsidRPr="00BF5667" w:rsidRDefault="00635309" w:rsidP="00BF5667">
      <w:pPr>
        <w:pStyle w:val="NormalWeb"/>
        <w:shd w:val="clear" w:color="auto" w:fill="FFFFFF"/>
        <w:spacing w:before="0" w:beforeAutospacing="0" w:after="0" w:afterAutospacing="0" w:line="272" w:lineRule="atLeast"/>
        <w:jc w:val="center"/>
        <w:rPr>
          <w:b/>
          <w:color w:val="333333"/>
          <w:sz w:val="28"/>
          <w:szCs w:val="28"/>
        </w:rPr>
      </w:pPr>
      <w:r w:rsidRPr="00BF5667">
        <w:rPr>
          <w:b/>
          <w:color w:val="333333"/>
          <w:sz w:val="28"/>
          <w:szCs w:val="28"/>
        </w:rPr>
        <w:t>KẾ HOẠCH</w:t>
      </w:r>
    </w:p>
    <w:p w:rsidR="00635309" w:rsidRPr="00BF5667" w:rsidRDefault="00635309" w:rsidP="00BF5667">
      <w:pPr>
        <w:pStyle w:val="NormalWeb"/>
        <w:shd w:val="clear" w:color="auto" w:fill="FFFFFF"/>
        <w:spacing w:before="0" w:beforeAutospacing="0" w:after="0" w:afterAutospacing="0" w:line="272" w:lineRule="atLeast"/>
        <w:jc w:val="center"/>
        <w:rPr>
          <w:b/>
          <w:color w:val="333333"/>
          <w:sz w:val="28"/>
          <w:szCs w:val="28"/>
        </w:rPr>
      </w:pPr>
      <w:r w:rsidRPr="00BF5667">
        <w:rPr>
          <w:b/>
          <w:color w:val="333333"/>
          <w:sz w:val="28"/>
          <w:szCs w:val="28"/>
        </w:rPr>
        <w:t>Về việc thực hiện Qui chế công khai nhà trường</w:t>
      </w:r>
    </w:p>
    <w:p w:rsidR="00635309" w:rsidRPr="00BF5667" w:rsidRDefault="00635309" w:rsidP="00EE0CF3">
      <w:pPr>
        <w:pStyle w:val="NormalWeb"/>
        <w:shd w:val="clear" w:color="auto" w:fill="FFFFFF"/>
        <w:spacing w:before="0" w:beforeAutospacing="0" w:after="0" w:afterAutospacing="0" w:line="272" w:lineRule="atLeast"/>
        <w:jc w:val="center"/>
        <w:rPr>
          <w:b/>
          <w:color w:val="333333"/>
          <w:sz w:val="28"/>
          <w:szCs w:val="28"/>
        </w:rPr>
      </w:pPr>
      <w:r w:rsidRPr="00BF5667">
        <w:rPr>
          <w:b/>
          <w:color w:val="333333"/>
          <w:sz w:val="28"/>
          <w:szCs w:val="28"/>
        </w:rPr>
        <w:t>theo Thông tư sô: 36/2017/TT-BGDĐT</w:t>
      </w:r>
    </w:p>
    <w:p w:rsidR="00BF5667" w:rsidRDefault="00BF5667" w:rsidP="00635309">
      <w:pPr>
        <w:pStyle w:val="NormalWeb"/>
        <w:shd w:val="clear" w:color="auto" w:fill="FFFFFF"/>
        <w:spacing w:before="0" w:beforeAutospacing="0" w:after="0" w:afterAutospacing="0" w:line="272" w:lineRule="atLeast"/>
        <w:jc w:val="both"/>
        <w:rPr>
          <w:rFonts w:ascii="Arial" w:hAnsi="Arial" w:cs="Arial"/>
          <w:color w:val="333333"/>
          <w:sz w:val="16"/>
          <w:szCs w:val="16"/>
        </w:rPr>
      </w:pPr>
    </w:p>
    <w:p w:rsidR="00635309" w:rsidRPr="00BF5667" w:rsidRDefault="00635309" w:rsidP="002B2CFF">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Thực hiện Thông tư số 36/2017/TT-BGDĐT ngày 28/12/2017 của Bộ Giáo dục và Đào tạo về việc ban hành Qui chế thực hiện công khai đối với các cơ sở giáo dục thuộc hệ thống giáo dục quốc dân; Thông tư 61/2017/</w:t>
      </w:r>
      <w:r w:rsidR="002B2CFF">
        <w:rPr>
          <w:color w:val="333333"/>
          <w:sz w:val="28"/>
          <w:szCs w:val="28"/>
        </w:rPr>
        <w:t>TT-BTC ngày 15/6/2017 của Bộ tài</w:t>
      </w:r>
      <w:r w:rsidRPr="00BF5667">
        <w:rPr>
          <w:color w:val="333333"/>
          <w:sz w:val="28"/>
          <w:szCs w:val="28"/>
        </w:rPr>
        <w:t xml:space="preserve"> chính về công khai hoạt động tài chính trong các đơn vị sự nghiệp công lập.</w:t>
      </w:r>
    </w:p>
    <w:p w:rsidR="00635309" w:rsidRPr="00BF5667" w:rsidRDefault="002B2CFF" w:rsidP="002B2CFF">
      <w:pPr>
        <w:pStyle w:val="NormalWeb"/>
        <w:shd w:val="clear" w:color="auto" w:fill="FFFFFF"/>
        <w:spacing w:before="0" w:beforeAutospacing="0" w:after="0" w:afterAutospacing="0" w:line="272" w:lineRule="atLeast"/>
        <w:ind w:firstLine="720"/>
        <w:jc w:val="both"/>
        <w:rPr>
          <w:color w:val="333333"/>
          <w:sz w:val="28"/>
          <w:szCs w:val="28"/>
        </w:rPr>
      </w:pPr>
      <w:r>
        <w:rPr>
          <w:color w:val="333333"/>
          <w:sz w:val="28"/>
          <w:szCs w:val="28"/>
        </w:rPr>
        <w:t>Trường THCS Nguyễn Trãi</w:t>
      </w:r>
      <w:r w:rsidR="00635309" w:rsidRPr="00BF5667">
        <w:rPr>
          <w:color w:val="333333"/>
          <w:sz w:val="28"/>
          <w:szCs w:val="28"/>
        </w:rPr>
        <w:t xml:space="preserve"> xây dựng kế hoạch triển khai thực hiện như sau:</w:t>
      </w:r>
    </w:p>
    <w:p w:rsidR="00635309" w:rsidRPr="002B2CFF" w:rsidRDefault="00635309" w:rsidP="00511904">
      <w:pPr>
        <w:pStyle w:val="NormalWeb"/>
        <w:shd w:val="clear" w:color="auto" w:fill="FFFFFF"/>
        <w:spacing w:before="0" w:beforeAutospacing="0" w:after="0" w:afterAutospacing="0" w:line="272" w:lineRule="atLeast"/>
        <w:ind w:firstLine="720"/>
        <w:jc w:val="both"/>
        <w:rPr>
          <w:b/>
          <w:color w:val="333333"/>
          <w:sz w:val="28"/>
          <w:szCs w:val="28"/>
        </w:rPr>
      </w:pPr>
      <w:r w:rsidRPr="002B2CFF">
        <w:rPr>
          <w:b/>
          <w:color w:val="333333"/>
          <w:sz w:val="28"/>
          <w:szCs w:val="28"/>
        </w:rPr>
        <w:t>I. Mục đích yêu cầu.</w:t>
      </w:r>
    </w:p>
    <w:p w:rsidR="00635309" w:rsidRPr="00BF5667" w:rsidRDefault="00635309" w:rsidP="00511904">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635309" w:rsidRPr="00BF5667" w:rsidRDefault="00635309" w:rsidP="00511904">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Việc thực hiện công khai phải đảm bảo đầy đủ các nội dung, hình thức và thời điểm theo quy định của quy chế thực hiện công khai.</w:t>
      </w:r>
    </w:p>
    <w:p w:rsidR="00635309" w:rsidRPr="00511904" w:rsidRDefault="00635309" w:rsidP="00511904">
      <w:pPr>
        <w:pStyle w:val="NormalWeb"/>
        <w:shd w:val="clear" w:color="auto" w:fill="FFFFFF"/>
        <w:spacing w:before="0" w:beforeAutospacing="0" w:after="0" w:afterAutospacing="0" w:line="272" w:lineRule="atLeast"/>
        <w:ind w:firstLine="720"/>
        <w:jc w:val="both"/>
        <w:rPr>
          <w:b/>
          <w:color w:val="333333"/>
          <w:sz w:val="28"/>
          <w:szCs w:val="28"/>
        </w:rPr>
      </w:pPr>
      <w:r w:rsidRPr="00511904">
        <w:rPr>
          <w:b/>
          <w:color w:val="333333"/>
          <w:sz w:val="28"/>
          <w:szCs w:val="28"/>
        </w:rPr>
        <w:t>II. Thành lập Ban chỉ đạo thực hiện quy chế công khai</w:t>
      </w:r>
    </w:p>
    <w:p w:rsidR="00635309" w:rsidRPr="00BF5667" w:rsidRDefault="00635309" w:rsidP="00511904">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Ban Chỉ đạo của Trường do Hiệu trưởng làm Trưởng ban. Phó Hiệu trưởng và Chủ tịch Công đoàn là các Phó trưởng ban. Trưởng các bộ phận, tổ chức đoàn là các uỷ viên của Ban chỉ đạo.</w:t>
      </w:r>
    </w:p>
    <w:p w:rsidR="00635309" w:rsidRPr="00BF5667" w:rsidRDefault="00635309" w:rsidP="00511904">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Hiệu trưởng (Trưởng ban chỉ đạo) tổ chức học tập, quán triệt nội dung Thông tư 36/2017/TT-BGDĐT trong Hội đồng sư phạm nhà trường.</w:t>
      </w:r>
    </w:p>
    <w:p w:rsidR="00635309" w:rsidRPr="00BF5667" w:rsidRDefault="00635309" w:rsidP="00511904">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Các thành viên trong ban chỉ đạo thực hiện theo sự phân công của trưởng, phó ban, căn cứ Qui chế công khai ban hành theo Thông tư số 36/2017/TT-BGDĐT của Bộ Giáo dục và Đào tạo để tiến hành thu thập thông tin, số liệu kê khai các biểu mẫu: 09, 10, 11, 12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 và cơ quan lãnh đạo Phòng Giáo dục- Đào tạo đúng lộ trình để ra trong kế hoạch.</w:t>
      </w:r>
    </w:p>
    <w:p w:rsidR="00635309" w:rsidRPr="00BF5667" w:rsidRDefault="00635309" w:rsidP="00635309">
      <w:pPr>
        <w:pStyle w:val="NormalWeb"/>
        <w:shd w:val="clear" w:color="auto" w:fill="FFFFFF"/>
        <w:spacing w:before="0" w:beforeAutospacing="0" w:after="0" w:afterAutospacing="0" w:line="272" w:lineRule="atLeast"/>
        <w:jc w:val="both"/>
        <w:rPr>
          <w:color w:val="333333"/>
          <w:sz w:val="28"/>
          <w:szCs w:val="28"/>
        </w:rPr>
      </w:pPr>
      <w:r w:rsidRPr="00BF5667">
        <w:rPr>
          <w:color w:val="333333"/>
          <w:sz w:val="28"/>
          <w:szCs w:val="28"/>
        </w:rPr>
        <w:t>- Phó ban, ủy viên giúp Trưởng ban thường xuyên kiểm tra, đôn đốc thành viên Ban chỉ đạo thực hiện nghiêm túc Qui chế và văn bản hướng dẫn thực hiện kế hoạch công khai của cấp trên.</w:t>
      </w:r>
    </w:p>
    <w:p w:rsidR="00635309" w:rsidRPr="00511904" w:rsidRDefault="00635309" w:rsidP="00511904">
      <w:pPr>
        <w:pStyle w:val="NormalWeb"/>
        <w:shd w:val="clear" w:color="auto" w:fill="FFFFFF"/>
        <w:spacing w:before="0" w:beforeAutospacing="0" w:after="0" w:afterAutospacing="0" w:line="272" w:lineRule="atLeast"/>
        <w:ind w:firstLine="720"/>
        <w:jc w:val="both"/>
        <w:rPr>
          <w:b/>
          <w:color w:val="333333"/>
          <w:sz w:val="28"/>
          <w:szCs w:val="28"/>
        </w:rPr>
      </w:pPr>
      <w:r w:rsidRPr="00511904">
        <w:rPr>
          <w:b/>
          <w:color w:val="333333"/>
          <w:sz w:val="28"/>
          <w:szCs w:val="28"/>
        </w:rPr>
        <w:t>III. Các nội dung thực hiện công khai.</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1. Công khai cam kết chất lượng giáo dục và chất lượng giáo dục thực tế:</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xml:space="preserve">- Cam kết chất lượng: điều kiện tuyển sinh vào lớp đầu cấp; thực hiện chương trình giảng dạy; công tác phối hợp giữa nhà trường và gia đình học sinh; </w:t>
      </w:r>
      <w:r w:rsidRPr="00BF5667">
        <w:rPr>
          <w:color w:val="333333"/>
          <w:sz w:val="28"/>
          <w:szCs w:val="28"/>
        </w:rPr>
        <w:lastRenderedPageBreak/>
        <w:t>những yêu cầu về thái độ học tập của học sinh; điều kiện CSVC nhà trường cam kết phục vụ tốt cho học sinh (phòng học tập, thiết bị, tin học...); các hoạt động hỗ trợ cho việc học tập, sinh hoạt của học sinh; tình hình đội ngũ CB-CC và phương pháp quản lí nhà trường; kết quả học lực, hạnh kiểm; sức khỏe học sinh trong; khả năng tiếp tục học tập của học sinh (biểu mẫu số 09).</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Chất lượng giáo dục thực tế: kết quả xếp loại học lực, hạnh kiểm của học sinh cuối năm học tính theo từng khối lớp; số học sinh đạt giải trong kỳ thi học sinh giỏi cấp TP, Tỉnh; tỉ lệ học sinh được công nhận TN THCS, đỗ vào lớp 10 hệ công lập, số học sinh nam, nữ từng khối lớp (biểu số 10).</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Kết quả công tác kiểm định chất lượng giáo dục của nhà trường: kế hoạch tô chức kiểm định, báo cáo tự đánh giá, cơ quan chủ quản đánh giá (đánh giá ngoài) công nhận đạt hoặc chưa đạt chuẩn chất lượng giáo dục.</w:t>
      </w:r>
    </w:p>
    <w:p w:rsidR="00635309" w:rsidRPr="001C22EA" w:rsidRDefault="00635309" w:rsidP="001C22EA">
      <w:pPr>
        <w:pStyle w:val="NormalWeb"/>
        <w:shd w:val="clear" w:color="auto" w:fill="FFFFFF"/>
        <w:spacing w:before="0" w:beforeAutospacing="0" w:after="0" w:afterAutospacing="0" w:line="272" w:lineRule="atLeast"/>
        <w:ind w:firstLine="720"/>
        <w:jc w:val="both"/>
        <w:rPr>
          <w:b/>
          <w:color w:val="333333"/>
          <w:sz w:val="28"/>
          <w:szCs w:val="28"/>
        </w:rPr>
      </w:pPr>
      <w:r w:rsidRPr="001C22EA">
        <w:rPr>
          <w:b/>
          <w:color w:val="333333"/>
          <w:sz w:val="28"/>
          <w:szCs w:val="28"/>
        </w:rPr>
        <w:t>2. Công khai về các điều kiện đảm bảo chất lượng giáo dục:</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w:t>
      </w:r>
      <w:r w:rsidR="00A751AF">
        <w:rPr>
          <w:color w:val="333333"/>
          <w:sz w:val="28"/>
          <w:szCs w:val="28"/>
        </w:rPr>
        <w:t>ệ trường (đính biểu mẫu số 11).</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Đội ngũ giáo viên, cán bộ quản lý và nhân viên phân biệt theo hình thức tuyển dụng và trình độ đào tạo, tổng số CB-CC, hình thức tuyển dụng theo NĐ 116 (biên chế, hợp đồng làm việc); các hình thức hợp đồng khác theo NĐ 68; trình độ đào tạo (đính kèm biểu mẫu số 12).</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Số lượng giáo viên, CBQL và nhân viên được đào tạo, bồi dưỡng trong năm học và 2 năm tiếp theo.</w:t>
      </w:r>
    </w:p>
    <w:p w:rsidR="00635309" w:rsidRPr="001C22EA" w:rsidRDefault="00635309" w:rsidP="001C22EA">
      <w:pPr>
        <w:pStyle w:val="NormalWeb"/>
        <w:shd w:val="clear" w:color="auto" w:fill="FFFFFF"/>
        <w:spacing w:before="0" w:beforeAutospacing="0" w:after="0" w:afterAutospacing="0" w:line="272" w:lineRule="atLeast"/>
        <w:ind w:firstLine="720"/>
        <w:jc w:val="both"/>
        <w:rPr>
          <w:b/>
          <w:color w:val="333333"/>
          <w:sz w:val="28"/>
          <w:szCs w:val="28"/>
        </w:rPr>
      </w:pPr>
      <w:r w:rsidRPr="001C22EA">
        <w:rPr>
          <w:b/>
          <w:color w:val="333333"/>
          <w:sz w:val="28"/>
          <w:szCs w:val="28"/>
        </w:rPr>
        <w:t>3. Công khai thu chi tài chính:</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-Tình hình tài chính của nhà trường: công khai tài chính theo Thông tư 61/2017/TT-BTC ngày 15/6/2017 của Bộ Tìa chính về công khai hoạt động tài chính trong các đơn vị sự nghiệp công lập.</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Học phí, lệ phí và các khoản thu khác từ người học.</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635309" w:rsidRPr="00BF5667" w:rsidRDefault="00635309" w:rsidP="001C22EA">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Kết quả thực hiện chính sách về trợ cấp hàng năm và miễn, giảm học phí cho học sinh thuộc các đối tượng chính sách xã hội (kèm bảng thống kê, báo cáo chi tiết).</w:t>
      </w:r>
    </w:p>
    <w:p w:rsidR="00635309" w:rsidRPr="001C22EA" w:rsidRDefault="00635309" w:rsidP="001C22EA">
      <w:pPr>
        <w:pStyle w:val="NormalWeb"/>
        <w:shd w:val="clear" w:color="auto" w:fill="FFFFFF"/>
        <w:spacing w:before="0" w:beforeAutospacing="0" w:after="0" w:afterAutospacing="0" w:line="272" w:lineRule="atLeast"/>
        <w:ind w:firstLine="720"/>
        <w:jc w:val="both"/>
        <w:rPr>
          <w:b/>
          <w:color w:val="333333"/>
          <w:sz w:val="28"/>
          <w:szCs w:val="28"/>
        </w:rPr>
      </w:pPr>
      <w:r w:rsidRPr="001C22EA">
        <w:rPr>
          <w:b/>
          <w:color w:val="333333"/>
          <w:sz w:val="28"/>
          <w:szCs w:val="28"/>
        </w:rPr>
        <w:t>IV. Phân công các thành viên tham gia điều tra cung cấp số liệu, thông tin.</w:t>
      </w:r>
    </w:p>
    <w:p w:rsidR="00635309" w:rsidRPr="00BF5667" w:rsidRDefault="00635309" w:rsidP="00A37FCB">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xml:space="preserve">1 </w:t>
      </w:r>
      <w:r w:rsidR="001C22EA">
        <w:rPr>
          <w:color w:val="333333"/>
          <w:sz w:val="28"/>
          <w:szCs w:val="28"/>
        </w:rPr>
        <w:t>Bà: Lê Thị Thanh Xuân:</w:t>
      </w:r>
      <w:r w:rsidRPr="00BF5667">
        <w:rPr>
          <w:color w:val="333333"/>
          <w:sz w:val="28"/>
          <w:szCs w:val="28"/>
        </w:rPr>
        <w:t xml:space="preserve"> Chỉ đạo điều hành tổ chức triển khai Thông tư: Thông tư 61/2017/TT-BTC ngày 15/6/2017 của Bộ Tài chính, thông tư 36/2017/TT-BGDĐT của Bộ GD-ĐT và các biểu kèm theo của trường đến tất cả toàn thể Hội đồng sư phạm nhà trường, PHHS.</w:t>
      </w:r>
    </w:p>
    <w:p w:rsidR="00635309" w:rsidRPr="00BF5667" w:rsidRDefault="002B5CCE" w:rsidP="00A37FCB">
      <w:pPr>
        <w:pStyle w:val="NormalWeb"/>
        <w:shd w:val="clear" w:color="auto" w:fill="FFFFFF"/>
        <w:spacing w:before="0" w:beforeAutospacing="0" w:after="0" w:afterAutospacing="0" w:line="272" w:lineRule="atLeast"/>
        <w:ind w:firstLine="720"/>
        <w:jc w:val="both"/>
        <w:rPr>
          <w:color w:val="333333"/>
          <w:sz w:val="28"/>
          <w:szCs w:val="28"/>
        </w:rPr>
      </w:pPr>
      <w:r>
        <w:rPr>
          <w:color w:val="333333"/>
          <w:sz w:val="28"/>
          <w:szCs w:val="28"/>
        </w:rPr>
        <w:t xml:space="preserve">2 Bà Lãnh Thị Mai Hồng </w:t>
      </w:r>
      <w:r w:rsidR="00635309" w:rsidRPr="00BF5667">
        <w:rPr>
          <w:color w:val="333333"/>
          <w:sz w:val="28"/>
          <w:szCs w:val="28"/>
        </w:rPr>
        <w:t>(phó TB trực) - Chỉ đạo trực tiếp các thành viên tiến hành điều tra thông tin, thu thập số liệu cập nhật vào các biểu mẫu số: 09, 10, 11, 12 và điều hành kê khai báo cáo thu chi tài chính; tổ chức kiểm tra và nhập thông tin trên máy vi tính.</w:t>
      </w:r>
    </w:p>
    <w:p w:rsidR="00635309" w:rsidRPr="00BF5667" w:rsidRDefault="00635309" w:rsidP="00A37FCB">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lastRenderedPageBreak/>
        <w:t>- Công tác kê khai biểu mẫu số 09, 10, 11, 12</w:t>
      </w:r>
    </w:p>
    <w:p w:rsidR="00635309" w:rsidRPr="00BF5667" w:rsidRDefault="00635309" w:rsidP="00A37FCB">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Thực hiện chức năng giám sát các cá nhân, bộ phận kê khai thông tin trên các báo cáo, biểu mẫu trung thực, chính xác, tập hợp các loại hồ sơ để niêm yết công khai như: Nội qui, Qui chế làm việc của nhà trường; Qui chế dân chủ cơ sở; Bản tổng hợp chất lượng giáo dục; Bảng phân công lao động; Qui chế chi tiêu nội bộ; kiểm tra thời gian tổ chức công khai, địa điểm công khai và thường xuyên báo cáo Trưởng ban về tình hình triển khai Qui chế thực hiện công khai đối với cơ sở giáo dục nhà trường.</w:t>
      </w:r>
    </w:p>
    <w:p w:rsidR="00635309" w:rsidRPr="00BF5667" w:rsidRDefault="002B5CCE" w:rsidP="00A37FCB">
      <w:pPr>
        <w:pStyle w:val="NormalWeb"/>
        <w:shd w:val="clear" w:color="auto" w:fill="FFFFFF"/>
        <w:spacing w:before="0" w:beforeAutospacing="0" w:after="0" w:afterAutospacing="0" w:line="272" w:lineRule="atLeast"/>
        <w:ind w:firstLine="720"/>
        <w:jc w:val="both"/>
        <w:rPr>
          <w:color w:val="333333"/>
          <w:sz w:val="28"/>
          <w:szCs w:val="28"/>
        </w:rPr>
      </w:pPr>
      <w:r>
        <w:rPr>
          <w:color w:val="333333"/>
          <w:sz w:val="28"/>
          <w:szCs w:val="28"/>
        </w:rPr>
        <w:t>3. Bà Nguyễn Thị Đượm</w:t>
      </w:r>
      <w:r w:rsidR="00635309" w:rsidRPr="00BF5667">
        <w:rPr>
          <w:color w:val="333333"/>
          <w:sz w:val="28"/>
          <w:szCs w:val="28"/>
        </w:rPr>
        <w:t xml:space="preserve"> (Thư ký) - Tổng hợp nhập máy các biểu mẫu, báo cáo, chọn địa điểm để niêm yết công khai các nội dung qui định theo Thông tư 36/2017/TT-BGDĐT, thông tư 61/2017/TT-BTC và ghi chép biên bản các cuộc họp Ban chỉ đạo và Hội đồng sư phạm, giúp Trưởng ban hoàn thành kế hoạch thực hiện Qui chế công khai.</w:t>
      </w:r>
    </w:p>
    <w:p w:rsidR="00635309" w:rsidRPr="00BF5667" w:rsidRDefault="002B5CCE" w:rsidP="00A37FCB">
      <w:pPr>
        <w:pStyle w:val="NormalWeb"/>
        <w:shd w:val="clear" w:color="auto" w:fill="FFFFFF"/>
        <w:spacing w:before="0" w:beforeAutospacing="0" w:after="0" w:afterAutospacing="0" w:line="272" w:lineRule="atLeast"/>
        <w:ind w:firstLine="720"/>
        <w:jc w:val="both"/>
        <w:rPr>
          <w:color w:val="333333"/>
          <w:sz w:val="28"/>
          <w:szCs w:val="28"/>
        </w:rPr>
      </w:pPr>
      <w:r>
        <w:rPr>
          <w:color w:val="333333"/>
          <w:sz w:val="28"/>
          <w:szCs w:val="28"/>
        </w:rPr>
        <w:t>4. Bà: Nguyễn Thị Tú Uyên</w:t>
      </w:r>
      <w:r w:rsidR="00635309" w:rsidRPr="00BF5667">
        <w:rPr>
          <w:color w:val="333333"/>
          <w:sz w:val="28"/>
          <w:szCs w:val="28"/>
        </w:rPr>
        <w:t xml:space="preserve"> - Công tác kê khai biểu mẫu tài chính</w:t>
      </w:r>
    </w:p>
    <w:p w:rsidR="00635309" w:rsidRPr="00BF5667" w:rsidRDefault="00635309" w:rsidP="00A37FCB">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Báo cáo thu, chi tài chính</w:t>
      </w:r>
    </w:p>
    <w:p w:rsidR="00635309" w:rsidRPr="00382B4F" w:rsidRDefault="00635309" w:rsidP="00382B4F">
      <w:pPr>
        <w:pStyle w:val="NormalWeb"/>
        <w:shd w:val="clear" w:color="auto" w:fill="FFFFFF"/>
        <w:spacing w:before="0" w:beforeAutospacing="0" w:after="0" w:afterAutospacing="0" w:line="272" w:lineRule="atLeast"/>
        <w:ind w:firstLine="720"/>
        <w:jc w:val="both"/>
        <w:rPr>
          <w:b/>
          <w:color w:val="333333"/>
          <w:sz w:val="28"/>
          <w:szCs w:val="28"/>
        </w:rPr>
      </w:pPr>
      <w:r w:rsidRPr="00382B4F">
        <w:rPr>
          <w:b/>
          <w:color w:val="333333"/>
          <w:sz w:val="28"/>
          <w:szCs w:val="28"/>
        </w:rPr>
        <w:t>V. Tổ chức thực hiện.</w:t>
      </w:r>
    </w:p>
    <w:p w:rsidR="00635309" w:rsidRPr="00BF5667" w:rsidRDefault="00635309" w:rsidP="00382B4F">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1. Về hình thức và địa điểm công khai:</w:t>
      </w:r>
    </w:p>
    <w:p w:rsidR="00635309" w:rsidRPr="00BF5667" w:rsidRDefault="00635309" w:rsidP="00382B4F">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Tổ chức công khai trong Hội đồng sư phạm nhà trường, Ban đại diện cha mẹ học sinh lớp, trường; các tài liệu in đầy đủ niêm yết ở vị trí Bảng tin tại cổng trường rất thuận tiện theo dõi (gồm: Qui chế công khai cơ sở giáo dục theo Thông tư 36/2017/TT-BGDĐT và kế hoạch thực hiện Qui chế của nhà trường, có đính kèm các biểu mẫu báo cáo; Qui chế làm việc của trường; Qui chế dân chủ cơ sở; Bảng tổng hợp kết quả giáo dục học lực và hạnh kiểm của học sinh theo khối lớp, trường; Bảng phân công lao động học kỳ I, II; Qui chế chi tiêu nội bộ từng năm).</w:t>
      </w:r>
    </w:p>
    <w:p w:rsidR="00635309" w:rsidRPr="00382B4F" w:rsidRDefault="00635309" w:rsidP="00382B4F">
      <w:pPr>
        <w:pStyle w:val="NormalWeb"/>
        <w:shd w:val="clear" w:color="auto" w:fill="FFFFFF"/>
        <w:spacing w:before="0" w:beforeAutospacing="0" w:after="0" w:afterAutospacing="0" w:line="272" w:lineRule="atLeast"/>
        <w:ind w:firstLine="720"/>
        <w:jc w:val="both"/>
        <w:rPr>
          <w:b/>
          <w:color w:val="333333"/>
          <w:sz w:val="28"/>
          <w:szCs w:val="28"/>
        </w:rPr>
      </w:pPr>
      <w:r w:rsidRPr="00382B4F">
        <w:rPr>
          <w:b/>
          <w:color w:val="333333"/>
          <w:sz w:val="28"/>
          <w:szCs w:val="28"/>
        </w:rPr>
        <w:t>2. Thời gian công khai:</w:t>
      </w:r>
    </w:p>
    <w:p w:rsidR="00635309" w:rsidRPr="00BF5667" w:rsidRDefault="00635309" w:rsidP="00382B4F">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Đợt 1: Từ 01 – 30/9 hàng năm.</w:t>
      </w:r>
    </w:p>
    <w:p w:rsidR="00635309" w:rsidRPr="00BF5667" w:rsidRDefault="00635309" w:rsidP="00382B4F">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 Đợt 2: Từ 01 – 30/01 hàng năm.</w:t>
      </w:r>
    </w:p>
    <w:p w:rsidR="00635309" w:rsidRPr="00BF5667" w:rsidRDefault="00635309" w:rsidP="00382B4F">
      <w:pPr>
        <w:pStyle w:val="NormalWeb"/>
        <w:shd w:val="clear" w:color="auto" w:fill="FFFFFF"/>
        <w:spacing w:before="0" w:beforeAutospacing="0" w:after="0" w:afterAutospacing="0" w:line="272" w:lineRule="atLeast"/>
        <w:ind w:firstLine="720"/>
        <w:jc w:val="both"/>
        <w:rPr>
          <w:color w:val="333333"/>
          <w:sz w:val="28"/>
          <w:szCs w:val="28"/>
        </w:rPr>
      </w:pPr>
      <w:r w:rsidRPr="00BF5667">
        <w:rPr>
          <w:color w:val="333333"/>
          <w:sz w:val="28"/>
          <w:szCs w:val="28"/>
        </w:rPr>
        <w:t>Ghi chú: các nội dung công khai và các loại Qui chế có liên quan được niêm yết thường xuyên tại phòng hội đồng để CB-CC và PHHS c</w:t>
      </w:r>
      <w:r w:rsidR="00382B4F">
        <w:rPr>
          <w:color w:val="333333"/>
          <w:sz w:val="28"/>
          <w:szCs w:val="28"/>
        </w:rPr>
        <w:t>ó điều kiện theo dõi cụ thể.</w:t>
      </w:r>
    </w:p>
    <w:tbl>
      <w:tblPr>
        <w:tblW w:w="0" w:type="auto"/>
        <w:tblInd w:w="-120" w:type="dxa"/>
        <w:tblLook w:val="01E0"/>
      </w:tblPr>
      <w:tblGrid>
        <w:gridCol w:w="2850"/>
        <w:gridCol w:w="2907"/>
        <w:gridCol w:w="3651"/>
      </w:tblGrid>
      <w:tr w:rsidR="00EA64D8" w:rsidRPr="00006361" w:rsidTr="00094750">
        <w:tc>
          <w:tcPr>
            <w:tcW w:w="2850" w:type="dxa"/>
            <w:shd w:val="clear" w:color="auto" w:fill="auto"/>
          </w:tcPr>
          <w:tbl>
            <w:tblPr>
              <w:tblW w:w="0" w:type="auto"/>
              <w:tblLook w:val="01E0"/>
            </w:tblPr>
            <w:tblGrid>
              <w:gridCol w:w="2634"/>
            </w:tblGrid>
            <w:tr w:rsidR="00EA64D8" w:rsidRPr="00006361" w:rsidTr="00094750">
              <w:tc>
                <w:tcPr>
                  <w:tcW w:w="2850" w:type="dxa"/>
                  <w:shd w:val="clear" w:color="auto" w:fill="auto"/>
                </w:tcPr>
                <w:p w:rsidR="00EA64D8" w:rsidRPr="00911BC1" w:rsidRDefault="00EA64D8" w:rsidP="00094750">
                  <w:pPr>
                    <w:rPr>
                      <w:b/>
                      <w:i/>
                      <w:sz w:val="24"/>
                      <w:szCs w:val="24"/>
                    </w:rPr>
                  </w:pPr>
                  <w:r w:rsidRPr="00911BC1">
                    <w:rPr>
                      <w:b/>
                      <w:i/>
                      <w:sz w:val="24"/>
                      <w:szCs w:val="24"/>
                    </w:rPr>
                    <w:t>Nơi nhận:</w:t>
                  </w:r>
                </w:p>
              </w:tc>
            </w:tr>
            <w:tr w:rsidR="00EA64D8" w:rsidRPr="00006361" w:rsidTr="00094750">
              <w:tc>
                <w:tcPr>
                  <w:tcW w:w="2850" w:type="dxa"/>
                  <w:shd w:val="clear" w:color="auto" w:fill="auto"/>
                </w:tcPr>
                <w:p w:rsidR="00EA64D8" w:rsidRPr="003C105B" w:rsidRDefault="00EA64D8" w:rsidP="00EA64D8">
                  <w:pPr>
                    <w:jc w:val="left"/>
                    <w:rPr>
                      <w:sz w:val="24"/>
                      <w:szCs w:val="24"/>
                    </w:rPr>
                  </w:pPr>
                  <w:r w:rsidRPr="003C105B">
                    <w:rPr>
                      <w:sz w:val="24"/>
                      <w:szCs w:val="24"/>
                    </w:rPr>
                    <w:t>- Phòng GD&amp;ĐT;</w:t>
                  </w:r>
                </w:p>
                <w:p w:rsidR="00EA64D8" w:rsidRPr="003C105B" w:rsidRDefault="00EA64D8" w:rsidP="00EA64D8">
                  <w:pPr>
                    <w:jc w:val="left"/>
                    <w:rPr>
                      <w:sz w:val="24"/>
                      <w:szCs w:val="24"/>
                    </w:rPr>
                  </w:pPr>
                  <w:r w:rsidRPr="003C105B">
                    <w:rPr>
                      <w:sz w:val="24"/>
                      <w:szCs w:val="24"/>
                    </w:rPr>
                    <w:t>- UBND xã, phường;</w:t>
                  </w:r>
                </w:p>
                <w:p w:rsidR="00EA64D8" w:rsidRPr="003C105B" w:rsidRDefault="00EA64D8" w:rsidP="00EA64D8">
                  <w:pPr>
                    <w:jc w:val="left"/>
                    <w:rPr>
                      <w:sz w:val="24"/>
                      <w:szCs w:val="24"/>
                    </w:rPr>
                  </w:pPr>
                  <w:r w:rsidRPr="003C105B">
                    <w:rPr>
                      <w:sz w:val="24"/>
                      <w:szCs w:val="24"/>
                    </w:rPr>
                    <w:t>- BGH, TTCM, TTVP;</w:t>
                  </w:r>
                </w:p>
                <w:p w:rsidR="00EA64D8" w:rsidRPr="003C105B" w:rsidRDefault="00EA64D8" w:rsidP="00EA64D8">
                  <w:pPr>
                    <w:jc w:val="left"/>
                    <w:rPr>
                      <w:sz w:val="24"/>
                      <w:szCs w:val="24"/>
                    </w:rPr>
                  </w:pPr>
                  <w:r w:rsidRPr="003C105B">
                    <w:rPr>
                      <w:sz w:val="24"/>
                      <w:szCs w:val="24"/>
                    </w:rPr>
                    <w:t>- Website trường;</w:t>
                  </w:r>
                </w:p>
                <w:p w:rsidR="00EA64D8" w:rsidRPr="00911BC1" w:rsidRDefault="00EA64D8" w:rsidP="00EA64D8">
                  <w:pPr>
                    <w:jc w:val="left"/>
                    <w:rPr>
                      <w:sz w:val="24"/>
                      <w:szCs w:val="24"/>
                    </w:rPr>
                  </w:pPr>
                  <w:r w:rsidRPr="003C105B">
                    <w:rPr>
                      <w:sz w:val="24"/>
                      <w:szCs w:val="24"/>
                    </w:rPr>
                    <w:t>- Lưu VT;</w:t>
                  </w:r>
                </w:p>
              </w:tc>
            </w:tr>
          </w:tbl>
          <w:p w:rsidR="00EA64D8" w:rsidRPr="00006361" w:rsidRDefault="00EA64D8" w:rsidP="00094750"/>
        </w:tc>
        <w:tc>
          <w:tcPr>
            <w:tcW w:w="2907" w:type="dxa"/>
            <w:shd w:val="clear" w:color="auto" w:fill="auto"/>
          </w:tcPr>
          <w:p w:rsidR="00EA64D8" w:rsidRPr="00006361" w:rsidRDefault="00EA64D8" w:rsidP="00094750">
            <w:pPr>
              <w:rPr>
                <w:b/>
              </w:rPr>
            </w:pPr>
          </w:p>
        </w:tc>
        <w:tc>
          <w:tcPr>
            <w:tcW w:w="3651" w:type="dxa"/>
            <w:shd w:val="clear" w:color="auto" w:fill="auto"/>
          </w:tcPr>
          <w:p w:rsidR="00EA64D8" w:rsidRPr="00006361" w:rsidRDefault="00EA64D8" w:rsidP="00094750">
            <w:pPr>
              <w:rPr>
                <w:b/>
              </w:rPr>
            </w:pPr>
            <w:r>
              <w:rPr>
                <w:b/>
              </w:rPr>
              <w:t xml:space="preserve">  </w:t>
            </w:r>
            <w:r w:rsidRPr="00006361">
              <w:rPr>
                <w:b/>
              </w:rPr>
              <w:t>HIỆU TRƯỞNG</w:t>
            </w:r>
          </w:p>
        </w:tc>
      </w:tr>
      <w:tr w:rsidR="00EA64D8" w:rsidRPr="00006361" w:rsidTr="00094750">
        <w:tc>
          <w:tcPr>
            <w:tcW w:w="2850" w:type="dxa"/>
            <w:shd w:val="clear" w:color="auto" w:fill="auto"/>
          </w:tcPr>
          <w:p w:rsidR="00EA64D8" w:rsidRPr="00006361" w:rsidRDefault="00EA64D8" w:rsidP="00094750">
            <w:pPr>
              <w:rPr>
                <w:b/>
                <w:i/>
              </w:rPr>
            </w:pPr>
          </w:p>
        </w:tc>
        <w:tc>
          <w:tcPr>
            <w:tcW w:w="2907" w:type="dxa"/>
            <w:shd w:val="clear" w:color="auto" w:fill="auto"/>
          </w:tcPr>
          <w:p w:rsidR="00EA64D8" w:rsidRPr="00006361" w:rsidRDefault="00EA64D8" w:rsidP="00094750"/>
        </w:tc>
        <w:tc>
          <w:tcPr>
            <w:tcW w:w="3651" w:type="dxa"/>
            <w:shd w:val="clear" w:color="auto" w:fill="auto"/>
          </w:tcPr>
          <w:p w:rsidR="00EA64D8" w:rsidRPr="00006361" w:rsidRDefault="00EA64D8" w:rsidP="00094750">
            <w:pPr>
              <w:rPr>
                <w:i/>
              </w:rPr>
            </w:pPr>
            <w:r w:rsidRPr="00006361">
              <w:rPr>
                <w:b/>
              </w:rPr>
              <w:t>Lê Thị Thanh Xuân</w:t>
            </w:r>
          </w:p>
        </w:tc>
      </w:tr>
      <w:tr w:rsidR="00EA64D8" w:rsidRPr="00006361" w:rsidTr="00094750">
        <w:tc>
          <w:tcPr>
            <w:tcW w:w="2850" w:type="dxa"/>
            <w:shd w:val="clear" w:color="auto" w:fill="auto"/>
          </w:tcPr>
          <w:p w:rsidR="00EA64D8" w:rsidRPr="00006361" w:rsidRDefault="00EA64D8" w:rsidP="00094750"/>
        </w:tc>
        <w:tc>
          <w:tcPr>
            <w:tcW w:w="2907" w:type="dxa"/>
            <w:shd w:val="clear" w:color="auto" w:fill="auto"/>
          </w:tcPr>
          <w:p w:rsidR="00EA64D8" w:rsidRPr="00006361" w:rsidRDefault="00EA64D8" w:rsidP="00094750"/>
        </w:tc>
        <w:tc>
          <w:tcPr>
            <w:tcW w:w="3651" w:type="dxa"/>
            <w:shd w:val="clear" w:color="auto" w:fill="auto"/>
          </w:tcPr>
          <w:p w:rsidR="00EA64D8" w:rsidRPr="00006361" w:rsidRDefault="00EA64D8" w:rsidP="00094750"/>
        </w:tc>
      </w:tr>
      <w:tr w:rsidR="00EA64D8" w:rsidRPr="00006361" w:rsidTr="00094750">
        <w:tc>
          <w:tcPr>
            <w:tcW w:w="2850" w:type="dxa"/>
            <w:shd w:val="clear" w:color="auto" w:fill="auto"/>
          </w:tcPr>
          <w:p w:rsidR="00EA64D8" w:rsidRPr="00006361" w:rsidRDefault="00EA64D8" w:rsidP="00094750"/>
        </w:tc>
        <w:tc>
          <w:tcPr>
            <w:tcW w:w="2907" w:type="dxa"/>
            <w:shd w:val="clear" w:color="auto" w:fill="auto"/>
          </w:tcPr>
          <w:p w:rsidR="00EA64D8" w:rsidRPr="00006361" w:rsidRDefault="00EA64D8" w:rsidP="00094750"/>
        </w:tc>
        <w:tc>
          <w:tcPr>
            <w:tcW w:w="3651" w:type="dxa"/>
            <w:shd w:val="clear" w:color="auto" w:fill="auto"/>
          </w:tcPr>
          <w:p w:rsidR="00EA64D8" w:rsidRPr="00006361" w:rsidRDefault="00EA64D8" w:rsidP="00094750">
            <w:pPr>
              <w:rPr>
                <w:b/>
              </w:rPr>
            </w:pPr>
          </w:p>
        </w:tc>
      </w:tr>
    </w:tbl>
    <w:p w:rsidR="003F01B7" w:rsidRPr="00BF5667" w:rsidRDefault="003F01B7">
      <w:pPr>
        <w:rPr>
          <w:rFonts w:cs="Times New Roman"/>
          <w:szCs w:val="28"/>
        </w:rPr>
      </w:pPr>
    </w:p>
    <w:sectPr w:rsidR="003F01B7" w:rsidRPr="00BF5667" w:rsidSect="00FA1775">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635309"/>
    <w:rsid w:val="00106FE1"/>
    <w:rsid w:val="001C22EA"/>
    <w:rsid w:val="002B2CFF"/>
    <w:rsid w:val="002B5CCE"/>
    <w:rsid w:val="00382B4F"/>
    <w:rsid w:val="003F01B7"/>
    <w:rsid w:val="00511904"/>
    <w:rsid w:val="005C337D"/>
    <w:rsid w:val="00611C5F"/>
    <w:rsid w:val="00635309"/>
    <w:rsid w:val="00A37FCB"/>
    <w:rsid w:val="00A751AF"/>
    <w:rsid w:val="00BF3BBA"/>
    <w:rsid w:val="00BF5667"/>
    <w:rsid w:val="00CA64AB"/>
    <w:rsid w:val="00DF372D"/>
    <w:rsid w:val="00EA64D8"/>
    <w:rsid w:val="00EE0CF3"/>
    <w:rsid w:val="00FA1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309"/>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A023-6E6D-4ED6-B122-7D4B0912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1109</Words>
  <Characters>6327</Characters>
  <Application>Microsoft Office Word</Application>
  <DocSecurity>0</DocSecurity>
  <Lines>52</Lines>
  <Paragraphs>14</Paragraphs>
  <ScaleCrop>false</ScaleCrop>
  <Company>Mobile: 0936.922.883</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2018-11-13T03:01:00Z</dcterms:created>
  <dcterms:modified xsi:type="dcterms:W3CDTF">2018-11-13T03:13:00Z</dcterms:modified>
</cp:coreProperties>
</file>